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C9B" w:rsidRDefault="00724C9B" w:rsidP="000A6DEA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noProof/>
          <w:lang w:val="en-US"/>
        </w:rPr>
        <w:drawing>
          <wp:inline distT="0" distB="0" distL="0" distR="0" wp14:anchorId="35834E67" wp14:editId="09638436">
            <wp:extent cx="8569325" cy="4219575"/>
            <wp:effectExtent l="0" t="0" r="317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24C9B" w:rsidRDefault="00724C9B" w:rsidP="000A6DEA">
      <w:pPr>
        <w:jc w:val="center"/>
        <w:rPr>
          <w:rFonts w:ascii="Sylfaen" w:hAnsi="Sylfaen"/>
          <w:b/>
          <w:lang w:val="ka-GE"/>
        </w:rPr>
      </w:pPr>
    </w:p>
    <w:p w:rsidR="00724C9B" w:rsidRDefault="00724C9B" w:rsidP="000A6DEA">
      <w:pPr>
        <w:jc w:val="center"/>
        <w:rPr>
          <w:rFonts w:ascii="Sylfaen" w:hAnsi="Sylfaen"/>
          <w:b/>
          <w:lang w:val="ka-GE"/>
        </w:rPr>
      </w:pPr>
    </w:p>
    <w:p w:rsidR="00724C9B" w:rsidRDefault="00724C9B" w:rsidP="000A6DEA">
      <w:pPr>
        <w:jc w:val="center"/>
        <w:rPr>
          <w:rFonts w:ascii="Sylfaen" w:hAnsi="Sylfaen"/>
          <w:b/>
          <w:lang w:val="ka-GE"/>
        </w:rPr>
      </w:pPr>
    </w:p>
    <w:p w:rsidR="00724C9B" w:rsidRDefault="00724C9B" w:rsidP="000A6DEA">
      <w:pPr>
        <w:jc w:val="center"/>
        <w:rPr>
          <w:rFonts w:ascii="Sylfaen" w:hAnsi="Sylfaen"/>
          <w:b/>
          <w:lang w:val="ka-GE"/>
        </w:rPr>
      </w:pPr>
    </w:p>
    <w:p w:rsidR="00603D8F" w:rsidRDefault="00603D8F" w:rsidP="000A6DEA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noProof/>
          <w:lang w:val="en-US"/>
        </w:rPr>
        <w:lastRenderedPageBreak/>
        <w:drawing>
          <wp:inline distT="0" distB="0" distL="0" distR="0" wp14:anchorId="511B8EA8" wp14:editId="293C9F58">
            <wp:extent cx="9544050" cy="4124325"/>
            <wp:effectExtent l="0" t="0" r="0" b="952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03D8F" w:rsidRDefault="00603D8F" w:rsidP="000A6DEA">
      <w:pPr>
        <w:jc w:val="center"/>
        <w:rPr>
          <w:rFonts w:ascii="Sylfaen" w:hAnsi="Sylfaen"/>
          <w:b/>
          <w:lang w:val="ka-GE"/>
        </w:rPr>
      </w:pPr>
    </w:p>
    <w:p w:rsidR="0035431D" w:rsidRDefault="0035431D" w:rsidP="000A6DEA">
      <w:pPr>
        <w:jc w:val="center"/>
        <w:rPr>
          <w:rFonts w:ascii="Sylfaen" w:hAnsi="Sylfaen"/>
          <w:b/>
          <w:lang w:val="ka-GE"/>
        </w:rPr>
      </w:pPr>
    </w:p>
    <w:p w:rsidR="0035431D" w:rsidRDefault="0035431D" w:rsidP="000A6DEA">
      <w:pPr>
        <w:jc w:val="center"/>
        <w:rPr>
          <w:rFonts w:ascii="Sylfaen" w:hAnsi="Sylfaen"/>
          <w:b/>
          <w:lang w:val="ka-GE"/>
        </w:rPr>
      </w:pPr>
    </w:p>
    <w:p w:rsidR="00E25BC2" w:rsidRDefault="00E25BC2" w:rsidP="000A6DEA">
      <w:pPr>
        <w:jc w:val="center"/>
        <w:rPr>
          <w:rFonts w:ascii="Sylfaen" w:hAnsi="Sylfaen"/>
          <w:b/>
          <w:lang w:val="ka-GE"/>
        </w:rPr>
      </w:pPr>
    </w:p>
    <w:p w:rsidR="00E620F0" w:rsidRDefault="00E620F0" w:rsidP="000A6DEA">
      <w:pPr>
        <w:jc w:val="center"/>
        <w:rPr>
          <w:rFonts w:ascii="Sylfaen" w:hAnsi="Sylfaen"/>
          <w:b/>
          <w:lang w:val="ka-GE"/>
        </w:rPr>
      </w:pPr>
    </w:p>
    <w:p w:rsidR="00E620F0" w:rsidRDefault="00E620F0" w:rsidP="000A6DEA">
      <w:pPr>
        <w:jc w:val="center"/>
        <w:rPr>
          <w:rFonts w:ascii="Sylfaen" w:hAnsi="Sylfaen"/>
          <w:b/>
          <w:lang w:val="ka-GE"/>
        </w:rPr>
      </w:pPr>
    </w:p>
    <w:p w:rsidR="00E620F0" w:rsidRDefault="00A66999" w:rsidP="000A6DEA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წით</w:t>
      </w:r>
      <w:r w:rsidR="00E620F0">
        <w:rPr>
          <w:rFonts w:ascii="Sylfaen" w:hAnsi="Sylfaen"/>
          <w:b/>
          <w:lang w:val="ka-GE"/>
        </w:rPr>
        <w:t>ელას შემთხვევების განაწილება ასაკობრივი ჯგუფებისა და აცრის სტატუსის მიხედვით,</w:t>
      </w:r>
    </w:p>
    <w:p w:rsidR="00E620F0" w:rsidRDefault="00E620F0" w:rsidP="000A6DEA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საქართველო</w:t>
      </w:r>
      <w:r w:rsidR="00087FBD">
        <w:rPr>
          <w:rFonts w:ascii="Sylfaen" w:hAnsi="Sylfaen"/>
          <w:b/>
          <w:lang w:val="ka-GE"/>
        </w:rPr>
        <w:t>,  01.2018-01</w:t>
      </w:r>
      <w:r>
        <w:rPr>
          <w:rFonts w:ascii="Sylfaen" w:hAnsi="Sylfaen"/>
          <w:b/>
          <w:lang w:val="ka-GE"/>
        </w:rPr>
        <w:t xml:space="preserve">.2019 </w:t>
      </w:r>
    </w:p>
    <w:tbl>
      <w:tblPr>
        <w:tblW w:w="12000" w:type="dxa"/>
        <w:jc w:val="center"/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  <w:gridCol w:w="1500"/>
        <w:gridCol w:w="1500"/>
      </w:tblGrid>
      <w:tr w:rsidR="00E620F0" w:rsidRPr="00E620F0" w:rsidTr="004F7F58">
        <w:trPr>
          <w:trHeight w:val="855"/>
          <w:jc w:val="center"/>
        </w:trPr>
        <w:tc>
          <w:tcPr>
            <w:tcW w:w="150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proofErr w:type="spellStart"/>
            <w:r w:rsidRPr="00E620F0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/>
              </w:rPr>
              <w:t>ასაკობრივი</w:t>
            </w:r>
            <w:proofErr w:type="spellEnd"/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620F0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/>
              </w:rPr>
              <w:t>ჯგუფი</w:t>
            </w:r>
            <w:proofErr w:type="spellEnd"/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/</w:t>
            </w:r>
            <w:proofErr w:type="spellStart"/>
            <w:r w:rsidRPr="00E620F0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/>
              </w:rPr>
              <w:t>აცრის</w:t>
            </w:r>
            <w:proofErr w:type="spellEnd"/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620F0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/>
              </w:rPr>
              <w:t>სტატუსი</w:t>
            </w:r>
            <w:proofErr w:type="spellEnd"/>
          </w:p>
        </w:tc>
        <w:tc>
          <w:tcPr>
            <w:tcW w:w="15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noWrap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proofErr w:type="spellStart"/>
            <w:r w:rsidRPr="00E620F0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/>
              </w:rPr>
              <w:t>შესწავლის</w:t>
            </w:r>
            <w:proofErr w:type="spellEnd"/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620F0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/>
              </w:rPr>
              <w:t>პროცესშია</w:t>
            </w:r>
            <w:proofErr w:type="spellEnd"/>
          </w:p>
        </w:tc>
        <w:tc>
          <w:tcPr>
            <w:tcW w:w="15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noWrap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0 </w:t>
            </w:r>
            <w:proofErr w:type="spellStart"/>
            <w:r w:rsidRPr="00E620F0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/>
              </w:rPr>
              <w:t>დოზა</w:t>
            </w:r>
            <w:proofErr w:type="spellEnd"/>
          </w:p>
        </w:tc>
        <w:tc>
          <w:tcPr>
            <w:tcW w:w="15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noWrap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620F0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/>
              </w:rPr>
              <w:t>დოზა</w:t>
            </w:r>
            <w:proofErr w:type="spellEnd"/>
          </w:p>
        </w:tc>
        <w:tc>
          <w:tcPr>
            <w:tcW w:w="15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noWrap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2 </w:t>
            </w:r>
            <w:proofErr w:type="spellStart"/>
            <w:r w:rsidRPr="00E620F0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/>
              </w:rPr>
              <w:t>დოზა</w:t>
            </w:r>
            <w:proofErr w:type="spellEnd"/>
          </w:p>
        </w:tc>
        <w:tc>
          <w:tcPr>
            <w:tcW w:w="15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noWrap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3+ </w:t>
            </w:r>
            <w:proofErr w:type="spellStart"/>
            <w:r w:rsidRPr="00E620F0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/>
              </w:rPr>
              <w:t>დოზა</w:t>
            </w:r>
            <w:proofErr w:type="spellEnd"/>
          </w:p>
        </w:tc>
        <w:tc>
          <w:tcPr>
            <w:tcW w:w="15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noWrap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proofErr w:type="spellStart"/>
            <w:r w:rsidRPr="00E620F0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/>
              </w:rPr>
              <w:t>უცნობია</w:t>
            </w:r>
            <w:proofErr w:type="spellEnd"/>
          </w:p>
        </w:tc>
        <w:tc>
          <w:tcPr>
            <w:tcW w:w="15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noWrap/>
            <w:vAlign w:val="center"/>
            <w:hideMark/>
          </w:tcPr>
          <w:p w:rsidR="00E620F0" w:rsidRPr="00E620F0" w:rsidRDefault="0064237F" w:rsidP="00E620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/>
              </w:rPr>
              <w:t>ჯამ</w:t>
            </w:r>
            <w:r w:rsidR="00E620F0" w:rsidRPr="00E620F0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/>
              </w:rPr>
              <w:t>ი</w:t>
            </w:r>
            <w:proofErr w:type="spellEnd"/>
          </w:p>
        </w:tc>
      </w:tr>
      <w:tr w:rsidR="00E620F0" w:rsidRPr="00E620F0" w:rsidTr="004F7F58">
        <w:trPr>
          <w:trHeight w:val="330"/>
          <w:jc w:val="center"/>
        </w:trPr>
        <w:tc>
          <w:tcPr>
            <w:tcW w:w="150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&lt;1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2E2EA8" w:rsidP="00E620F0">
            <w:pPr>
              <w:spacing w:after="0" w:line="240" w:lineRule="auto"/>
              <w:jc w:val="right"/>
              <w:rPr>
                <w:rFonts w:ascii="Sylfaen" w:eastAsia="Times New Roman" w:hAnsi="Sylfaen" w:cs="Tahoma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Tahoma"/>
                <w:color w:val="000000"/>
                <w:sz w:val="16"/>
                <w:szCs w:val="16"/>
                <w:lang w:val="ka-GE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223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2E2EA8" w:rsidP="00E620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223</w:t>
            </w:r>
          </w:p>
        </w:tc>
      </w:tr>
      <w:tr w:rsidR="00E620F0" w:rsidRPr="00E620F0" w:rsidTr="004F7F58">
        <w:trPr>
          <w:trHeight w:val="330"/>
          <w:jc w:val="center"/>
        </w:trPr>
        <w:tc>
          <w:tcPr>
            <w:tcW w:w="150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1-4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230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349</w:t>
            </w:r>
          </w:p>
        </w:tc>
      </w:tr>
      <w:tr w:rsidR="00E620F0" w:rsidRPr="00E620F0" w:rsidTr="004F7F58">
        <w:trPr>
          <w:trHeight w:val="330"/>
          <w:jc w:val="center"/>
        </w:trPr>
        <w:tc>
          <w:tcPr>
            <w:tcW w:w="150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 xml:space="preserve"> 5-14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180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323</w:t>
            </w:r>
          </w:p>
        </w:tc>
      </w:tr>
      <w:tr w:rsidR="00E620F0" w:rsidRPr="00E620F0" w:rsidTr="004F7F58">
        <w:trPr>
          <w:trHeight w:val="330"/>
          <w:jc w:val="center"/>
        </w:trPr>
        <w:tc>
          <w:tcPr>
            <w:tcW w:w="150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15-19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181</w:t>
            </w:r>
          </w:p>
        </w:tc>
      </w:tr>
      <w:tr w:rsidR="00E620F0" w:rsidRPr="00E620F0" w:rsidTr="004F7F58">
        <w:trPr>
          <w:trHeight w:val="330"/>
          <w:jc w:val="center"/>
        </w:trPr>
        <w:tc>
          <w:tcPr>
            <w:tcW w:w="150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20-29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2E2EA8" w:rsidP="00E620F0">
            <w:pPr>
              <w:spacing w:after="0" w:line="240" w:lineRule="auto"/>
              <w:jc w:val="right"/>
              <w:rPr>
                <w:rFonts w:ascii="Sylfaen" w:eastAsia="Times New Roman" w:hAnsi="Sylfaen" w:cs="Tahoma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Tahoma"/>
                <w:color w:val="000000"/>
                <w:sz w:val="16"/>
                <w:szCs w:val="16"/>
                <w:lang w:val="ka-GE"/>
              </w:rPr>
              <w:t>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142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454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2E2EA8">
            <w:pPr>
              <w:spacing w:after="0" w:line="240" w:lineRule="auto"/>
              <w:jc w:val="right"/>
              <w:rPr>
                <w:rFonts w:ascii="Sylfaen" w:eastAsia="Times New Roman" w:hAnsi="Sylfaen" w:cs="Tahoma"/>
                <w:color w:val="000000"/>
                <w:sz w:val="16"/>
                <w:szCs w:val="16"/>
                <w:lang w:val="ka-GE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6</w:t>
            </w:r>
            <w:r w:rsidR="002E2EA8">
              <w:rPr>
                <w:rFonts w:ascii="Sylfaen" w:eastAsia="Times New Roman" w:hAnsi="Sylfaen" w:cs="Tahoma"/>
                <w:color w:val="000000"/>
                <w:sz w:val="16"/>
                <w:szCs w:val="16"/>
                <w:lang w:val="ka-GE"/>
              </w:rPr>
              <w:t>46</w:t>
            </w:r>
          </w:p>
        </w:tc>
      </w:tr>
      <w:tr w:rsidR="00E620F0" w:rsidRPr="00E620F0" w:rsidTr="004F7F58">
        <w:trPr>
          <w:trHeight w:val="330"/>
          <w:jc w:val="center"/>
        </w:trPr>
        <w:tc>
          <w:tcPr>
            <w:tcW w:w="150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30-59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121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532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676</w:t>
            </w:r>
          </w:p>
        </w:tc>
      </w:tr>
      <w:tr w:rsidR="00E620F0" w:rsidRPr="00E620F0" w:rsidTr="004F7F58">
        <w:trPr>
          <w:trHeight w:val="330"/>
          <w:jc w:val="center"/>
        </w:trPr>
        <w:tc>
          <w:tcPr>
            <w:tcW w:w="150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60+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9</w:t>
            </w:r>
          </w:p>
        </w:tc>
      </w:tr>
      <w:tr w:rsidR="00E620F0" w:rsidRPr="00E620F0" w:rsidTr="004F7F58">
        <w:trPr>
          <w:trHeight w:val="330"/>
          <w:jc w:val="center"/>
        </w:trPr>
        <w:tc>
          <w:tcPr>
            <w:tcW w:w="150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proofErr w:type="spellStart"/>
            <w:r w:rsidRPr="00E620F0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/>
              </w:rPr>
              <w:t>ჯამი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979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124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1157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E620F0" w:rsidRPr="00E620F0" w:rsidRDefault="00E620F0" w:rsidP="00E620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</w:pPr>
            <w:r w:rsidRPr="00E620F0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/>
              </w:rPr>
              <w:t>2408</w:t>
            </w:r>
          </w:p>
        </w:tc>
      </w:tr>
    </w:tbl>
    <w:p w:rsidR="00E620F0" w:rsidRDefault="00E620F0" w:rsidP="000A6DEA">
      <w:pPr>
        <w:jc w:val="center"/>
        <w:rPr>
          <w:rFonts w:ascii="Sylfaen" w:hAnsi="Sylfaen"/>
          <w:b/>
          <w:lang w:val="ka-GE"/>
        </w:rPr>
      </w:pPr>
    </w:p>
    <w:p w:rsidR="0064237F" w:rsidRDefault="0064237F" w:rsidP="00015ACA">
      <w:pPr>
        <w:spacing w:after="120"/>
        <w:jc w:val="both"/>
        <w:rPr>
          <w:rFonts w:ascii="Sylfaen" w:hAnsi="Sylfaen"/>
          <w:lang w:val="ka-GE"/>
        </w:rPr>
      </w:pPr>
      <w:r>
        <w:rPr>
          <w:rFonts w:ascii="Sylfaen" w:hAnsi="Sylfaen"/>
          <w:bCs/>
          <w:lang w:val="ka-GE"/>
        </w:rPr>
        <w:t xml:space="preserve">2017 წლის აგვისტოდან, დაავადების ციკლურობიდან გამომდინარე, დაფიქსირდა წითელას შემთხვევების მატების ტენდენცია ლოკალური ეპიდაფეთქებების სახით (დაიწყო გურიაში და გავრცელდა აჭარაში) და დაავადების სეზონურობის გათვალისწინებით (ზამთარი-გაზაფხული), პიკს მიაღწია დეკემბერში.  </w:t>
      </w:r>
      <w:r w:rsidR="00015ACA">
        <w:rPr>
          <w:rFonts w:ascii="Sylfaen" w:hAnsi="Sylfaen"/>
          <w:bCs/>
          <w:lang w:val="ka-GE"/>
        </w:rPr>
        <w:t xml:space="preserve">გაგრძელდა რა შემდგომ, </w:t>
      </w:r>
      <w:r>
        <w:rPr>
          <w:lang w:val="ka-GE"/>
        </w:rPr>
        <w:t xml:space="preserve">2018 </w:t>
      </w:r>
      <w:r>
        <w:rPr>
          <w:rFonts w:ascii="Sylfaen" w:hAnsi="Sylfaen" w:cs="Sylfaen"/>
          <w:lang w:val="ka-GE"/>
        </w:rPr>
        <w:t xml:space="preserve">წელს 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რეგისტრირებულია</w:t>
      </w:r>
      <w:r>
        <w:rPr>
          <w:lang w:val="ka-GE"/>
        </w:rPr>
        <w:t xml:space="preserve">  </w:t>
      </w:r>
      <w:r>
        <w:rPr>
          <w:rFonts w:ascii="Sylfaen" w:hAnsi="Sylfaen" w:cs="Sylfaen"/>
          <w:lang w:val="ka-GE"/>
        </w:rPr>
        <w:t>წითელას</w:t>
      </w:r>
      <w:r>
        <w:rPr>
          <w:lang w:val="ka-GE"/>
        </w:rPr>
        <w:t xml:space="preserve">  </w:t>
      </w:r>
      <w:r>
        <w:rPr>
          <w:rFonts w:ascii="Sylfaen" w:hAnsi="Sylfaen"/>
          <w:lang w:val="ka-GE"/>
        </w:rPr>
        <w:t>2230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შემთხვევა</w:t>
      </w:r>
      <w:r>
        <w:rPr>
          <w:lang w:val="ka-GE"/>
        </w:rPr>
        <w:t xml:space="preserve"> (2017 </w:t>
      </w:r>
      <w:r>
        <w:rPr>
          <w:rFonts w:ascii="Sylfaen" w:hAnsi="Sylfaen" w:cs="Sylfaen"/>
          <w:lang w:val="ka-GE"/>
        </w:rPr>
        <w:t>წელს</w:t>
      </w:r>
      <w:r>
        <w:rPr>
          <w:lang w:val="ka-GE"/>
        </w:rPr>
        <w:t xml:space="preserve"> - 94); </w:t>
      </w:r>
      <w:r>
        <w:rPr>
          <w:rFonts w:ascii="Sylfaen" w:hAnsi="Sylfaen" w:cs="Sylfaen"/>
          <w:lang w:val="ka-GE"/>
        </w:rPr>
        <w:t>ინციდენტობა</w:t>
      </w:r>
      <w:r>
        <w:rPr>
          <w:lang w:val="ka-GE"/>
        </w:rPr>
        <w:t xml:space="preserve"> 100 000 </w:t>
      </w:r>
      <w:r>
        <w:rPr>
          <w:rFonts w:ascii="Sylfaen" w:hAnsi="Sylfaen" w:cs="Sylfaen"/>
          <w:lang w:val="ka-GE"/>
        </w:rPr>
        <w:t>მოსახლეზე</w:t>
      </w:r>
      <w:r>
        <w:rPr>
          <w:lang w:val="ka-GE"/>
        </w:rPr>
        <w:t xml:space="preserve"> - 60  (2017 </w:t>
      </w:r>
      <w:r>
        <w:rPr>
          <w:rFonts w:ascii="Sylfaen" w:hAnsi="Sylfaen" w:cs="Sylfaen"/>
          <w:lang w:val="ka-GE"/>
        </w:rPr>
        <w:t>წელს</w:t>
      </w:r>
      <w:r>
        <w:rPr>
          <w:lang w:val="ka-GE"/>
        </w:rPr>
        <w:t xml:space="preserve"> - 2,5). </w:t>
      </w:r>
      <w:r>
        <w:rPr>
          <w:rFonts w:ascii="Sylfaen" w:hAnsi="Sylfaen"/>
          <w:lang w:val="ka-GE"/>
        </w:rPr>
        <w:t xml:space="preserve"> 2018 წელს 2017 წელთან შედარებით ინციდენტობა გაიზარდა 24-ჯერ. 2018 წელს დაფიქსირდა 3  ლეტალური შემთხვევა</w:t>
      </w:r>
      <w:r>
        <w:rPr>
          <w:lang w:val="ka-GE"/>
        </w:rPr>
        <w:t xml:space="preserve"> (</w:t>
      </w:r>
      <w:r>
        <w:rPr>
          <w:rFonts w:ascii="Sylfaen" w:hAnsi="Sylfaen" w:cs="Sylfaen"/>
          <w:lang w:val="ka-GE"/>
        </w:rPr>
        <w:t>მაისი</w:t>
      </w:r>
      <w:r>
        <w:rPr>
          <w:lang w:val="ka-GE"/>
        </w:rPr>
        <w:t xml:space="preserve">: </w:t>
      </w:r>
      <w:r>
        <w:rPr>
          <w:rFonts w:ascii="Sylfaen" w:hAnsi="Sylfaen" w:cs="Sylfaen"/>
          <w:lang w:val="ka-GE"/>
        </w:rPr>
        <w:t>ქვემო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ქართლი </w:t>
      </w:r>
      <w:r>
        <w:rPr>
          <w:lang w:val="ka-GE"/>
        </w:rPr>
        <w:t>-</w:t>
      </w:r>
      <w:r>
        <w:rPr>
          <w:rFonts w:ascii="Sylfaen" w:hAnsi="Sylfaen"/>
          <w:lang w:val="ka-GE"/>
        </w:rPr>
        <w:t xml:space="preserve"> </w:t>
      </w:r>
      <w:r>
        <w:rPr>
          <w:lang w:val="ka-GE"/>
        </w:rPr>
        <w:t xml:space="preserve">11 </w:t>
      </w:r>
      <w:r>
        <w:rPr>
          <w:rFonts w:ascii="Sylfaen" w:hAnsi="Sylfaen" w:cs="Sylfaen"/>
          <w:lang w:val="ka-GE"/>
        </w:rPr>
        <w:t>თვის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შესაბამისად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აუცრელი</w:t>
      </w:r>
      <w:r>
        <w:rPr>
          <w:lang w:val="ka-GE"/>
        </w:rPr>
        <w:t xml:space="preserve">; </w:t>
      </w:r>
      <w:r>
        <w:rPr>
          <w:rFonts w:ascii="Sylfaen" w:hAnsi="Sylfaen" w:cs="Sylfaen"/>
          <w:lang w:val="ka-GE"/>
        </w:rPr>
        <w:t xml:space="preserve">იმერეთი </w:t>
      </w:r>
      <w:r>
        <w:rPr>
          <w:lang w:val="ka-GE"/>
        </w:rPr>
        <w:t>-</w:t>
      </w:r>
      <w:r>
        <w:rPr>
          <w:rFonts w:ascii="Sylfaen" w:hAnsi="Sylfaen"/>
          <w:lang w:val="ka-GE"/>
        </w:rPr>
        <w:t xml:space="preserve"> </w:t>
      </w:r>
      <w:r>
        <w:rPr>
          <w:lang w:val="ka-GE"/>
        </w:rPr>
        <w:t xml:space="preserve">16 </w:t>
      </w:r>
      <w:r>
        <w:rPr>
          <w:rFonts w:ascii="Sylfaen" w:hAnsi="Sylfaen" w:cs="Sylfaen"/>
          <w:lang w:val="ka-GE"/>
        </w:rPr>
        <w:t>წლის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აუცრელი; დეკემბერი: კახეთი-10 თვის, შესაბამისად აუცრელი</w:t>
      </w:r>
      <w:r>
        <w:rPr>
          <w:lang w:val="ka-GE"/>
        </w:rPr>
        <w:t xml:space="preserve">). </w:t>
      </w:r>
    </w:p>
    <w:p w:rsidR="0064237F" w:rsidRDefault="0064237F" w:rsidP="0064237F">
      <w:pPr>
        <w:spacing w:after="12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201</w:t>
      </w:r>
      <w:r>
        <w:rPr>
          <w:rFonts w:ascii="Sylfaen" w:hAnsi="Sylfaen"/>
        </w:rPr>
        <w:t>8</w:t>
      </w:r>
      <w:r>
        <w:rPr>
          <w:rFonts w:ascii="Sylfaen" w:hAnsi="Sylfaen"/>
          <w:lang w:val="ka-GE"/>
        </w:rPr>
        <w:t xml:space="preserve"> წელს, ისევე როგორც წინა წლებში, დაავადების შემთხვევები აღირიცხა ყველა ასაკობრივ ჯგუფში. დაავადების შემთხვევების რაოდენობა და პროცენტული განაწილება ყველაზე მაღალია </w:t>
      </w:r>
      <w:r>
        <w:rPr>
          <w:rFonts w:ascii="Sylfaen" w:hAnsi="Sylfaen"/>
        </w:rPr>
        <w:t>1</w:t>
      </w:r>
      <w:r>
        <w:rPr>
          <w:rFonts w:ascii="Sylfaen" w:hAnsi="Sylfaen"/>
          <w:lang w:val="ka-GE"/>
        </w:rPr>
        <w:t xml:space="preserve">5 წლის ზემოთ ასაკობრივ ჯგუფში, ხოლო ინციდენტობა 0-1 წლამდე ასაკობრივ ჯგუფში, </w:t>
      </w:r>
      <w:r>
        <w:rPr>
          <w:rFonts w:ascii="Sylfaen" w:hAnsi="Sylfaen" w:cs="Sylfaen"/>
          <w:lang w:val="ka-GE"/>
        </w:rPr>
        <w:t>რაც თანდაყოლილი იმუნიტეტის დეფიციტზე მეტყველებს. 2017 წელთან შედარებით, ყველა ასაკობრივ ჯგუფში აღინიშნება დაავადების შემთხვევების და ინციდენტობის მატება.</w:t>
      </w:r>
    </w:p>
    <w:p w:rsidR="0064237F" w:rsidRDefault="0064237F" w:rsidP="0064237F">
      <w:pPr>
        <w:spacing w:after="120"/>
        <w:jc w:val="both"/>
        <w:rPr>
          <w:rFonts w:ascii="Sylfaen" w:hAnsi="Sylfaen" w:cs="Times New Roman"/>
          <w:lang w:val="ka-GE"/>
        </w:rPr>
      </w:pPr>
      <w:r>
        <w:rPr>
          <w:rFonts w:ascii="Sylfaen" w:hAnsi="Sylfaen"/>
          <w:noProof/>
          <w:lang w:val="ka-GE"/>
        </w:rPr>
        <w:t xml:space="preserve">წითელას შემთხვევების მატება კვლავ გრძელდება. 2019 წლის 1-14 იანვრის ჩათვლით რეგისტრირებულია დაავადების 210 შემთხვევა. </w:t>
      </w:r>
      <w:r>
        <w:rPr>
          <w:rFonts w:ascii="Sylfaen" w:hAnsi="Sylfaen"/>
          <w:lang w:val="ka-GE"/>
        </w:rPr>
        <w:t xml:space="preserve">საყურადღებოა ის რეგიონები, სადაც დაავადების შემთხვევების ყოველდღიურ მატებას აქვს ადგილი-თბილისი, იმერეთი, სამეგრელო და კახეთი. </w:t>
      </w:r>
    </w:p>
    <w:p w:rsidR="000E69EA" w:rsidRDefault="000E69EA" w:rsidP="000A6DEA">
      <w:pPr>
        <w:jc w:val="center"/>
        <w:rPr>
          <w:rFonts w:ascii="Sylfaen" w:hAnsi="Sylfaen"/>
          <w:b/>
          <w:lang w:val="ka-GE"/>
        </w:rPr>
      </w:pPr>
    </w:p>
    <w:p w:rsidR="00510343" w:rsidRPr="00B02559" w:rsidRDefault="00510343" w:rsidP="00510343">
      <w:pPr>
        <w:spacing w:after="0" w:line="240" w:lineRule="auto"/>
        <w:jc w:val="center"/>
        <w:rPr>
          <w:rFonts w:ascii="Sylfaen" w:eastAsia="Times New Roman" w:hAnsi="Sylfaen"/>
          <w:b/>
          <w:color w:val="000000"/>
          <w:lang w:val="ka-GE" w:eastAsia="ru-RU"/>
        </w:rPr>
      </w:pPr>
      <w:r>
        <w:rPr>
          <w:rFonts w:ascii="Sylfaen" w:eastAsia="Times New Roman" w:hAnsi="Sylfaen" w:cs="Sylfaen"/>
          <w:b/>
          <w:color w:val="000000"/>
          <w:lang w:val="ka-GE" w:eastAsia="ru-RU"/>
        </w:rPr>
        <w:t>წით</w:t>
      </w:r>
      <w:r w:rsidRPr="00B02559">
        <w:rPr>
          <w:rFonts w:ascii="Sylfaen" w:eastAsia="Times New Roman" w:hAnsi="Sylfaen" w:cs="Sylfaen"/>
          <w:b/>
          <w:color w:val="000000"/>
          <w:lang w:val="ka-GE" w:eastAsia="ru-RU"/>
        </w:rPr>
        <w:t xml:space="preserve">ელას </w:t>
      </w:r>
      <w:proofErr w:type="spellStart"/>
      <w:r w:rsidRPr="00B02559">
        <w:rPr>
          <w:rFonts w:ascii="Sylfaen" w:eastAsia="Times New Roman" w:hAnsi="Sylfaen" w:cs="Sylfaen"/>
          <w:b/>
          <w:color w:val="000000"/>
          <w:lang w:eastAsia="ru-RU"/>
        </w:rPr>
        <w:t>შემთხვევების</w:t>
      </w:r>
      <w:proofErr w:type="spellEnd"/>
      <w:r w:rsidRPr="00B02559"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 w:rsidRPr="00B02559">
        <w:rPr>
          <w:rFonts w:ascii="Sylfaen" w:eastAsia="Times New Roman" w:hAnsi="Sylfaen" w:cs="Sylfaen"/>
          <w:b/>
          <w:color w:val="000000"/>
          <w:lang w:eastAsia="ru-RU"/>
        </w:rPr>
        <w:t>რაოდენობა</w:t>
      </w:r>
      <w:proofErr w:type="spellEnd"/>
      <w:r w:rsidRPr="00B02559">
        <w:rPr>
          <w:rFonts w:ascii="Sylfaen" w:eastAsia="Times New Roman" w:hAnsi="Sylfaen"/>
          <w:b/>
          <w:color w:val="000000"/>
          <w:lang w:eastAsia="ru-RU"/>
        </w:rPr>
        <w:t xml:space="preserve"> </w:t>
      </w:r>
      <w:r w:rsidRPr="00B02559">
        <w:rPr>
          <w:rFonts w:ascii="Sylfaen" w:eastAsia="Times New Roman" w:hAnsi="Sylfaen"/>
          <w:b/>
          <w:color w:val="000000"/>
          <w:lang w:val="ka-GE" w:eastAsia="ru-RU"/>
        </w:rPr>
        <w:t xml:space="preserve">საქართველოში </w:t>
      </w:r>
      <w:proofErr w:type="spellStart"/>
      <w:r w:rsidRPr="00B02559">
        <w:rPr>
          <w:rFonts w:ascii="Sylfaen" w:eastAsia="Times New Roman" w:hAnsi="Sylfaen" w:cs="Sylfaen"/>
          <w:b/>
          <w:color w:val="000000"/>
          <w:lang w:eastAsia="ru-RU"/>
        </w:rPr>
        <w:t>რეგიონების</w:t>
      </w:r>
      <w:proofErr w:type="spellEnd"/>
      <w:r w:rsidRPr="00B02559"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 w:rsidRPr="00B02559">
        <w:rPr>
          <w:rFonts w:ascii="Sylfaen" w:eastAsia="Times New Roman" w:hAnsi="Sylfaen" w:cs="Sylfaen"/>
          <w:b/>
          <w:color w:val="000000"/>
          <w:lang w:eastAsia="ru-RU"/>
        </w:rPr>
        <w:t>მიხედვით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, </w:t>
      </w:r>
      <w:r w:rsidR="00DD41F7">
        <w:rPr>
          <w:rFonts w:ascii="Sylfaen" w:eastAsia="Times New Roman" w:hAnsi="Sylfaen"/>
          <w:b/>
          <w:color w:val="000000"/>
          <w:lang w:val="ka-GE" w:eastAsia="ru-RU"/>
        </w:rPr>
        <w:t>01.01.</w:t>
      </w:r>
      <w:r>
        <w:rPr>
          <w:rFonts w:ascii="Sylfaen" w:eastAsia="Times New Roman" w:hAnsi="Sylfaen"/>
          <w:b/>
          <w:color w:val="000000"/>
          <w:lang w:eastAsia="ru-RU"/>
        </w:rPr>
        <w:t>2019</w:t>
      </w:r>
      <w:r w:rsidRPr="00B02559"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 w:rsidRPr="00B02559">
        <w:rPr>
          <w:rFonts w:ascii="Sylfaen" w:eastAsia="Times New Roman" w:hAnsi="Sylfaen" w:cs="Sylfaen"/>
          <w:b/>
          <w:color w:val="000000"/>
          <w:lang w:eastAsia="ru-RU"/>
        </w:rPr>
        <w:t>წელი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 </w:t>
      </w:r>
      <w:r w:rsidR="00141E99">
        <w:rPr>
          <w:rFonts w:ascii="Sylfaen" w:eastAsia="Times New Roman" w:hAnsi="Sylfaen"/>
          <w:b/>
          <w:color w:val="000000"/>
          <w:lang w:val="ka-GE" w:eastAsia="ru-RU"/>
        </w:rPr>
        <w:t>14</w:t>
      </w:r>
      <w:r w:rsidR="00DD41F7">
        <w:rPr>
          <w:rFonts w:ascii="Sylfaen" w:eastAsia="Times New Roman" w:hAnsi="Sylfaen"/>
          <w:b/>
          <w:color w:val="000000"/>
          <w:lang w:val="ka-GE" w:eastAsia="ru-RU"/>
        </w:rPr>
        <w:t>.01.2019</w:t>
      </w:r>
    </w:p>
    <w:p w:rsidR="00510343" w:rsidRDefault="00510343" w:rsidP="002723AA">
      <w:pPr>
        <w:rPr>
          <w:rFonts w:ascii="Sylfaen" w:hAnsi="Sylfaen"/>
          <w:lang w:val="ka-GE"/>
        </w:rPr>
      </w:pPr>
    </w:p>
    <w:tbl>
      <w:tblPr>
        <w:tblW w:w="156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1245"/>
        <w:gridCol w:w="770"/>
        <w:gridCol w:w="866"/>
        <w:gridCol w:w="1199"/>
        <w:gridCol w:w="1113"/>
        <w:gridCol w:w="937"/>
        <w:gridCol w:w="1240"/>
        <w:gridCol w:w="1151"/>
        <w:gridCol w:w="1370"/>
        <w:gridCol w:w="1201"/>
        <w:gridCol w:w="1077"/>
        <w:gridCol w:w="1077"/>
        <w:gridCol w:w="700"/>
      </w:tblGrid>
      <w:tr w:rsidR="008D13FA" w:rsidRPr="00391E17" w:rsidTr="008C13C1">
        <w:trPr>
          <w:trHeight w:val="764"/>
        </w:trPr>
        <w:tc>
          <w:tcPr>
            <w:tcW w:w="1744" w:type="dxa"/>
            <w:hideMark/>
          </w:tcPr>
          <w:p w:rsidR="008D13FA" w:rsidRPr="00391E17" w:rsidRDefault="008D13FA" w:rsidP="008C13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რეგიონი</w:t>
            </w:r>
            <w:proofErr w:type="spellEnd"/>
          </w:p>
        </w:tc>
        <w:tc>
          <w:tcPr>
            <w:tcW w:w="1245" w:type="dxa"/>
          </w:tcPr>
          <w:p w:rsidR="008D13FA" w:rsidRPr="00391E17" w:rsidRDefault="008D13FA" w:rsidP="008C13C1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აფხაზეთი</w:t>
            </w:r>
          </w:p>
        </w:tc>
        <w:tc>
          <w:tcPr>
            <w:tcW w:w="770" w:type="dxa"/>
          </w:tcPr>
          <w:p w:rsidR="008D13FA" w:rsidRPr="00391E17" w:rsidRDefault="008D13FA" w:rsidP="008C13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აჭარა</w:t>
            </w:r>
            <w:proofErr w:type="spellEnd"/>
          </w:p>
        </w:tc>
        <w:tc>
          <w:tcPr>
            <w:tcW w:w="866" w:type="dxa"/>
          </w:tcPr>
          <w:p w:rsidR="008D13FA" w:rsidRPr="00391E17" w:rsidRDefault="008D13FA" w:rsidP="008C13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გურია</w:t>
            </w:r>
            <w:proofErr w:type="spellEnd"/>
          </w:p>
        </w:tc>
        <w:tc>
          <w:tcPr>
            <w:tcW w:w="1199" w:type="dxa"/>
          </w:tcPr>
          <w:p w:rsidR="008D13FA" w:rsidRPr="00391E17" w:rsidRDefault="008D13FA" w:rsidP="008C13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თბილისი</w:t>
            </w:r>
            <w:proofErr w:type="spellEnd"/>
          </w:p>
        </w:tc>
        <w:tc>
          <w:tcPr>
            <w:tcW w:w="1113" w:type="dxa"/>
          </w:tcPr>
          <w:p w:rsidR="008D13FA" w:rsidRPr="00391E17" w:rsidRDefault="008D13FA" w:rsidP="008C13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იმერეთი</w:t>
            </w:r>
            <w:proofErr w:type="spellEnd"/>
          </w:p>
        </w:tc>
        <w:tc>
          <w:tcPr>
            <w:tcW w:w="937" w:type="dxa"/>
          </w:tcPr>
          <w:p w:rsidR="008D13FA" w:rsidRPr="00391E17" w:rsidRDefault="008D13FA" w:rsidP="008C13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კახეთი</w:t>
            </w:r>
            <w:proofErr w:type="spellEnd"/>
          </w:p>
        </w:tc>
        <w:tc>
          <w:tcPr>
            <w:tcW w:w="1240" w:type="dxa"/>
          </w:tcPr>
          <w:p w:rsidR="008D13FA" w:rsidRPr="00391E17" w:rsidRDefault="008D13FA" w:rsidP="008C13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მცხეთა</w:t>
            </w:r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>-</w:t>
            </w: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მთიანეთი</w:t>
            </w:r>
            <w:proofErr w:type="spellEnd"/>
          </w:p>
        </w:tc>
        <w:tc>
          <w:tcPr>
            <w:tcW w:w="1151" w:type="dxa"/>
          </w:tcPr>
          <w:p w:rsidR="008D13FA" w:rsidRPr="00391E17" w:rsidRDefault="008D13FA" w:rsidP="008C13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რაჭა</w:t>
            </w:r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>-</w:t>
            </w: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ლეჩხუმი</w:t>
            </w:r>
            <w:proofErr w:type="spellEnd"/>
          </w:p>
        </w:tc>
        <w:tc>
          <w:tcPr>
            <w:tcW w:w="1370" w:type="dxa"/>
          </w:tcPr>
          <w:p w:rsidR="008D13FA" w:rsidRPr="00391E17" w:rsidRDefault="008D13FA" w:rsidP="008C13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სამეგრელო</w:t>
            </w:r>
            <w:proofErr w:type="spellEnd"/>
          </w:p>
        </w:tc>
        <w:tc>
          <w:tcPr>
            <w:tcW w:w="1201" w:type="dxa"/>
          </w:tcPr>
          <w:p w:rsidR="008D13FA" w:rsidRPr="00391E17" w:rsidRDefault="008D13FA" w:rsidP="008C13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სამცხე</w:t>
            </w:r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>-</w:t>
            </w: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ჯავახეთი</w:t>
            </w:r>
            <w:proofErr w:type="spellEnd"/>
          </w:p>
        </w:tc>
        <w:tc>
          <w:tcPr>
            <w:tcW w:w="1077" w:type="dxa"/>
          </w:tcPr>
          <w:p w:rsidR="008D13FA" w:rsidRPr="00391E17" w:rsidRDefault="008D13FA" w:rsidP="008C13C1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ქვემო</w:t>
            </w:r>
            <w:proofErr w:type="spellEnd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ქართლი</w:t>
            </w:r>
            <w:proofErr w:type="spellEnd"/>
          </w:p>
        </w:tc>
        <w:tc>
          <w:tcPr>
            <w:tcW w:w="1077" w:type="dxa"/>
          </w:tcPr>
          <w:p w:rsidR="008D13FA" w:rsidRPr="00391E17" w:rsidRDefault="008D13FA" w:rsidP="008C13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შიდა</w:t>
            </w:r>
            <w:proofErr w:type="spellEnd"/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ქართლი</w:t>
            </w:r>
            <w:proofErr w:type="spellEnd"/>
          </w:p>
        </w:tc>
        <w:tc>
          <w:tcPr>
            <w:tcW w:w="700" w:type="dxa"/>
          </w:tcPr>
          <w:p w:rsidR="008D13FA" w:rsidRPr="00391E17" w:rsidRDefault="008D13FA" w:rsidP="008C13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სულ</w:t>
            </w:r>
            <w:proofErr w:type="spellEnd"/>
          </w:p>
        </w:tc>
      </w:tr>
      <w:tr w:rsidR="008D13FA" w:rsidRPr="00391E17" w:rsidTr="008C13C1">
        <w:trPr>
          <w:trHeight w:val="881"/>
        </w:trPr>
        <w:tc>
          <w:tcPr>
            <w:tcW w:w="1744" w:type="dxa"/>
            <w:hideMark/>
          </w:tcPr>
          <w:p w:rsidR="008D13FA" w:rsidRPr="00391E17" w:rsidRDefault="008D13FA" w:rsidP="008C13C1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2019 წ 14 იანვარს</w:t>
            </w:r>
          </w:p>
          <w:p w:rsidR="008D13FA" w:rsidRPr="00391E17" w:rsidRDefault="008D13FA" w:rsidP="008C13C1">
            <w:pPr>
              <w:rPr>
                <w:b/>
              </w:rPr>
            </w:pPr>
            <w:proofErr w:type="spellStart"/>
            <w:r w:rsidRPr="00391E17">
              <w:rPr>
                <w:rFonts w:ascii="Sylfaen" w:hAnsi="Sylfaen" w:cs="Sylfaen"/>
                <w:b/>
              </w:rPr>
              <w:t>შეტყობინებულია</w:t>
            </w:r>
            <w:proofErr w:type="spellEnd"/>
            <w:r w:rsidRPr="00391E17">
              <w:rPr>
                <w:b/>
              </w:rPr>
              <w:t xml:space="preserve"> </w:t>
            </w:r>
          </w:p>
        </w:tc>
        <w:tc>
          <w:tcPr>
            <w:tcW w:w="1245" w:type="dxa"/>
          </w:tcPr>
          <w:p w:rsidR="008D13FA" w:rsidRPr="00391E17" w:rsidRDefault="008D13FA" w:rsidP="008C13C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770" w:type="dxa"/>
          </w:tcPr>
          <w:p w:rsidR="008D13FA" w:rsidRPr="00391E17" w:rsidRDefault="008D13FA" w:rsidP="008C13C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866" w:type="dxa"/>
          </w:tcPr>
          <w:p w:rsidR="008D13FA" w:rsidRPr="00391E17" w:rsidRDefault="008D13FA" w:rsidP="008C13C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199" w:type="dxa"/>
          </w:tcPr>
          <w:p w:rsidR="008D13FA" w:rsidRPr="003C0AA1" w:rsidRDefault="008D13FA" w:rsidP="008C13C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113" w:type="dxa"/>
          </w:tcPr>
          <w:p w:rsidR="008D13FA" w:rsidRPr="00391E17" w:rsidRDefault="008D13FA" w:rsidP="008C13C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14</w:t>
            </w:r>
          </w:p>
        </w:tc>
        <w:tc>
          <w:tcPr>
            <w:tcW w:w="937" w:type="dxa"/>
          </w:tcPr>
          <w:p w:rsidR="008D13FA" w:rsidRPr="00391E17" w:rsidRDefault="008D13FA" w:rsidP="008C13C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240" w:type="dxa"/>
          </w:tcPr>
          <w:p w:rsidR="008D13FA" w:rsidRPr="00391E17" w:rsidRDefault="008D13FA" w:rsidP="008C13C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151" w:type="dxa"/>
          </w:tcPr>
          <w:p w:rsidR="008D13FA" w:rsidRPr="00391E17" w:rsidRDefault="008D13FA" w:rsidP="008C13C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370" w:type="dxa"/>
          </w:tcPr>
          <w:p w:rsidR="008D13FA" w:rsidRPr="00391E17" w:rsidRDefault="008D13FA" w:rsidP="008C13C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</w:t>
            </w:r>
          </w:p>
        </w:tc>
        <w:tc>
          <w:tcPr>
            <w:tcW w:w="1201" w:type="dxa"/>
          </w:tcPr>
          <w:p w:rsidR="008D13FA" w:rsidRPr="00391E17" w:rsidRDefault="008D13FA" w:rsidP="008C13C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077" w:type="dxa"/>
          </w:tcPr>
          <w:p w:rsidR="008D13FA" w:rsidRPr="00391E17" w:rsidRDefault="008D13FA" w:rsidP="008C13C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1077" w:type="dxa"/>
          </w:tcPr>
          <w:p w:rsidR="008D13FA" w:rsidRPr="00391E17" w:rsidRDefault="008D13FA" w:rsidP="008C13C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700" w:type="dxa"/>
          </w:tcPr>
          <w:p w:rsidR="008D13FA" w:rsidRPr="00534573" w:rsidRDefault="008D13FA" w:rsidP="008C13C1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50</w:t>
            </w:r>
          </w:p>
        </w:tc>
      </w:tr>
      <w:tr w:rsidR="008D13FA" w:rsidRPr="00391E17" w:rsidTr="008C13C1">
        <w:trPr>
          <w:trHeight w:val="679"/>
        </w:trPr>
        <w:tc>
          <w:tcPr>
            <w:tcW w:w="1744" w:type="dxa"/>
            <w:hideMark/>
          </w:tcPr>
          <w:p w:rsidR="008D13FA" w:rsidRPr="00391E17" w:rsidRDefault="008D13FA" w:rsidP="008C13C1">
            <w:pPr>
              <w:rPr>
                <w:rFonts w:ascii="Sylfaen" w:hAnsi="Sylfaen" w:cs="Sylfaen"/>
                <w:b/>
                <w:lang w:val="ka-GE"/>
              </w:rPr>
            </w:pPr>
            <w:proofErr w:type="spellStart"/>
            <w:r w:rsidRPr="00391E17">
              <w:rPr>
                <w:rFonts w:ascii="Sylfaen" w:hAnsi="Sylfaen" w:cs="Sylfaen"/>
                <w:b/>
              </w:rPr>
              <w:t>სულ</w:t>
            </w:r>
            <w:proofErr w:type="spellEnd"/>
            <w:r>
              <w:rPr>
                <w:b/>
              </w:rPr>
              <w:t xml:space="preserve"> 2019</w:t>
            </w:r>
            <w:r w:rsidRPr="00391E17">
              <w:rPr>
                <w:b/>
              </w:rPr>
              <w:t xml:space="preserve"> </w:t>
            </w:r>
            <w:proofErr w:type="spellStart"/>
            <w:r w:rsidRPr="00391E17">
              <w:rPr>
                <w:rFonts w:ascii="Sylfaen" w:hAnsi="Sylfaen" w:cs="Sylfaen"/>
                <w:b/>
              </w:rPr>
              <w:t>წე</w:t>
            </w:r>
            <w:proofErr w:type="spellEnd"/>
            <w:r w:rsidRPr="00391E17">
              <w:rPr>
                <w:rFonts w:ascii="Sylfaen" w:hAnsi="Sylfaen" w:cs="Sylfaen"/>
                <w:b/>
                <w:lang w:val="ka-GE"/>
              </w:rPr>
              <w:t>ლი</w:t>
            </w:r>
          </w:p>
          <w:p w:rsidR="008D13FA" w:rsidRPr="00391E17" w:rsidRDefault="008D13FA" w:rsidP="008C13C1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14 იანვრის </w:t>
            </w:r>
            <w:proofErr w:type="spellStart"/>
            <w:r w:rsidRPr="00391E17">
              <w:rPr>
                <w:rFonts w:ascii="Sylfaen" w:hAnsi="Sylfaen" w:cs="Sylfaen"/>
                <w:b/>
              </w:rPr>
              <w:t>ჩათვლით</w:t>
            </w:r>
            <w:proofErr w:type="spellEnd"/>
          </w:p>
        </w:tc>
        <w:tc>
          <w:tcPr>
            <w:tcW w:w="1245" w:type="dxa"/>
          </w:tcPr>
          <w:p w:rsidR="008D13FA" w:rsidRPr="00391E17" w:rsidRDefault="008D13FA" w:rsidP="008C13C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</w:t>
            </w:r>
          </w:p>
        </w:tc>
        <w:tc>
          <w:tcPr>
            <w:tcW w:w="770" w:type="dxa"/>
          </w:tcPr>
          <w:p w:rsidR="008D13FA" w:rsidRPr="00D92364" w:rsidRDefault="008D13FA" w:rsidP="008C13C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866" w:type="dxa"/>
          </w:tcPr>
          <w:p w:rsidR="008D13FA" w:rsidRPr="00391E17" w:rsidRDefault="008D13FA" w:rsidP="008C13C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1199" w:type="dxa"/>
          </w:tcPr>
          <w:p w:rsidR="008D13FA" w:rsidRPr="00391E17" w:rsidRDefault="008D13FA" w:rsidP="008C13C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55</w:t>
            </w:r>
          </w:p>
        </w:tc>
        <w:tc>
          <w:tcPr>
            <w:tcW w:w="1113" w:type="dxa"/>
          </w:tcPr>
          <w:p w:rsidR="008D13FA" w:rsidRPr="00391E17" w:rsidRDefault="008D13FA" w:rsidP="008C13C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56</w:t>
            </w:r>
          </w:p>
        </w:tc>
        <w:tc>
          <w:tcPr>
            <w:tcW w:w="937" w:type="dxa"/>
          </w:tcPr>
          <w:p w:rsidR="008D13FA" w:rsidRPr="00391E17" w:rsidRDefault="008D13FA" w:rsidP="008C13C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240" w:type="dxa"/>
          </w:tcPr>
          <w:p w:rsidR="008D13FA" w:rsidRPr="00391E17" w:rsidRDefault="008D13FA" w:rsidP="008C13C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</w:t>
            </w:r>
          </w:p>
        </w:tc>
        <w:tc>
          <w:tcPr>
            <w:tcW w:w="1151" w:type="dxa"/>
          </w:tcPr>
          <w:p w:rsidR="008D13FA" w:rsidRPr="00391E17" w:rsidRDefault="008D13FA" w:rsidP="008C13C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370" w:type="dxa"/>
          </w:tcPr>
          <w:p w:rsidR="008D13FA" w:rsidRPr="00D30748" w:rsidRDefault="008D13FA" w:rsidP="008C13C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46</w:t>
            </w:r>
          </w:p>
        </w:tc>
        <w:tc>
          <w:tcPr>
            <w:tcW w:w="1201" w:type="dxa"/>
          </w:tcPr>
          <w:p w:rsidR="008D13FA" w:rsidRPr="00391E17" w:rsidRDefault="008D13FA" w:rsidP="008C13C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077" w:type="dxa"/>
          </w:tcPr>
          <w:p w:rsidR="008D13FA" w:rsidRPr="002D6A5A" w:rsidRDefault="008D13FA" w:rsidP="008C13C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1077" w:type="dxa"/>
          </w:tcPr>
          <w:p w:rsidR="008D13FA" w:rsidRPr="00391E17" w:rsidRDefault="008D13FA" w:rsidP="008C13C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700" w:type="dxa"/>
          </w:tcPr>
          <w:p w:rsidR="008D13FA" w:rsidRPr="00D30748" w:rsidRDefault="008D13FA" w:rsidP="008C13C1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ka-GE"/>
              </w:rPr>
              <w:t>209</w:t>
            </w:r>
          </w:p>
        </w:tc>
      </w:tr>
    </w:tbl>
    <w:p w:rsidR="0064237F" w:rsidRDefault="0064237F" w:rsidP="008D13FA">
      <w:pPr>
        <w:spacing w:after="0" w:line="240" w:lineRule="auto"/>
        <w:jc w:val="center"/>
        <w:rPr>
          <w:rFonts w:ascii="Sylfaen" w:eastAsia="Times New Roman" w:hAnsi="Sylfaen"/>
          <w:b/>
          <w:color w:val="000000"/>
          <w:lang w:val="ka-GE" w:eastAsia="ru-RU"/>
        </w:rPr>
      </w:pPr>
    </w:p>
    <w:p w:rsidR="008D13FA" w:rsidRPr="00391E17" w:rsidRDefault="0064237F" w:rsidP="008D13FA">
      <w:pPr>
        <w:spacing w:after="0" w:line="240" w:lineRule="auto"/>
        <w:jc w:val="center"/>
        <w:rPr>
          <w:rFonts w:ascii="Sylfaen" w:eastAsia="Times New Roman" w:hAnsi="Sylfaen"/>
          <w:b/>
          <w:color w:val="000000"/>
          <w:lang w:eastAsia="ru-RU"/>
        </w:rPr>
      </w:pPr>
      <w:r>
        <w:rPr>
          <w:rFonts w:ascii="Sylfaen" w:eastAsia="Times New Roman" w:hAnsi="Sylfaen"/>
          <w:b/>
          <w:color w:val="000000"/>
          <w:lang w:val="ka-GE" w:eastAsia="ru-RU"/>
        </w:rPr>
        <w:t>ა</w:t>
      </w:r>
      <w:proofErr w:type="spellStart"/>
      <w:r w:rsidR="008D13FA" w:rsidRPr="00391E17">
        <w:rPr>
          <w:rFonts w:ascii="Sylfaen" w:eastAsia="Times New Roman" w:hAnsi="Sylfaen"/>
          <w:b/>
          <w:color w:val="000000"/>
          <w:lang w:eastAsia="ru-RU"/>
        </w:rPr>
        <w:t>საკობრივი</w:t>
      </w:r>
      <w:proofErr w:type="spellEnd"/>
      <w:r w:rsidR="008D13FA" w:rsidRPr="00391E17"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 w:rsidR="008D13FA" w:rsidRPr="00391E17">
        <w:rPr>
          <w:rFonts w:ascii="Sylfaen" w:eastAsia="Times New Roman" w:hAnsi="Sylfaen"/>
          <w:b/>
          <w:color w:val="000000"/>
          <w:lang w:eastAsia="ru-RU"/>
        </w:rPr>
        <w:t>განაწილება</w:t>
      </w:r>
      <w:proofErr w:type="spellEnd"/>
    </w:p>
    <w:tbl>
      <w:tblPr>
        <w:tblW w:w="4412" w:type="dxa"/>
        <w:jc w:val="center"/>
        <w:tblLayout w:type="fixed"/>
        <w:tblLook w:val="04A0" w:firstRow="1" w:lastRow="0" w:firstColumn="1" w:lastColumn="0" w:noHBand="0" w:noVBand="1"/>
      </w:tblPr>
      <w:tblGrid>
        <w:gridCol w:w="1293"/>
        <w:gridCol w:w="1985"/>
        <w:gridCol w:w="1134"/>
      </w:tblGrid>
      <w:tr w:rsidR="008D13FA" w:rsidRPr="00391E17" w:rsidTr="004B757D">
        <w:trPr>
          <w:trHeight w:val="1196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3FA" w:rsidRDefault="008D13FA" w:rsidP="008C13C1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</w:p>
          <w:p w:rsidR="008D13FA" w:rsidRPr="00391E17" w:rsidRDefault="008D13FA" w:rsidP="008C13C1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3FA" w:rsidRPr="00391E17" w:rsidRDefault="008D13FA" w:rsidP="008C13C1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შემთხვევათა</w:t>
            </w:r>
            <w:proofErr w:type="spellEnd"/>
          </w:p>
          <w:p w:rsidR="008D13FA" w:rsidRPr="00391E17" w:rsidRDefault="008D13FA" w:rsidP="008C13C1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რ-</w:t>
            </w: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ობა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3FA" w:rsidRPr="00391E17" w:rsidRDefault="008D13FA" w:rsidP="008C13C1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%</w:t>
            </w:r>
          </w:p>
        </w:tc>
      </w:tr>
      <w:tr w:rsidR="008D13FA" w:rsidRPr="00391E17" w:rsidTr="004B757D">
        <w:trPr>
          <w:trHeight w:val="315"/>
          <w:jc w:val="center"/>
        </w:trPr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3FA" w:rsidRPr="00391E17" w:rsidRDefault="008D13FA" w:rsidP="008C13C1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0-1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3FA" w:rsidRPr="00391E17" w:rsidRDefault="008D13FA" w:rsidP="008C13C1">
            <w:pPr>
              <w:spacing w:after="0" w:line="240" w:lineRule="auto"/>
              <w:jc w:val="center"/>
              <w:rPr>
                <w:rFonts w:ascii="Sylfaen" w:eastAsia="Times New Roman" w:hAnsi="Sylfaen"/>
                <w:lang w:val="en-US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3FA" w:rsidRPr="00391E17" w:rsidRDefault="008D13FA" w:rsidP="008C13C1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6,2</w:t>
            </w:r>
          </w:p>
        </w:tc>
      </w:tr>
      <w:tr w:rsidR="008D13FA" w:rsidRPr="00391E17" w:rsidTr="004B757D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3FA" w:rsidRPr="00391E17" w:rsidRDefault="008D13FA" w:rsidP="008C13C1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1-4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3FA" w:rsidRPr="00D77856" w:rsidRDefault="008D13FA" w:rsidP="008C13C1">
            <w:pPr>
              <w:spacing w:after="0" w:line="240" w:lineRule="auto"/>
              <w:jc w:val="center"/>
              <w:rPr>
                <w:rFonts w:ascii="Sylfaen" w:eastAsia="Times New Roman" w:hAnsi="Sylfaen"/>
                <w:lang w:val="ka-GE" w:eastAsia="ru-RU"/>
              </w:rPr>
            </w:pPr>
            <w:r>
              <w:rPr>
                <w:rFonts w:ascii="Sylfaen" w:eastAsia="Times New Roman" w:hAnsi="Sylfaen"/>
                <w:lang w:val="en-US"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3FA" w:rsidRPr="00391E17" w:rsidRDefault="008D13FA" w:rsidP="008C13C1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 w:rsidRPr="00391E17">
              <w:rPr>
                <w:rFonts w:ascii="Sylfaen" w:eastAsia="Times New Roman" w:hAnsi="Sylfaen"/>
                <w:color w:val="000000"/>
                <w:lang w:val="en-US" w:eastAsia="ru-RU"/>
              </w:rPr>
              <w:t>1</w:t>
            </w:r>
            <w:r>
              <w:rPr>
                <w:rFonts w:ascii="Sylfaen" w:eastAsia="Times New Roman" w:hAnsi="Sylfaen"/>
                <w:color w:val="000000"/>
                <w:lang w:val="ka-GE" w:eastAsia="ru-RU"/>
              </w:rPr>
              <w:t>5,8</w:t>
            </w:r>
          </w:p>
        </w:tc>
      </w:tr>
      <w:tr w:rsidR="008D13FA" w:rsidRPr="00391E17" w:rsidTr="004B757D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3FA" w:rsidRPr="00391E17" w:rsidRDefault="008D13FA" w:rsidP="008C13C1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5-14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3FA" w:rsidRPr="00391E17" w:rsidRDefault="008D13FA" w:rsidP="008C13C1">
            <w:pPr>
              <w:spacing w:after="0" w:line="240" w:lineRule="auto"/>
              <w:jc w:val="center"/>
              <w:rPr>
                <w:rFonts w:ascii="Sylfaen" w:eastAsia="Times New Roman" w:hAnsi="Sylfaen"/>
                <w:lang w:val="en-US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3FA" w:rsidRPr="00391E17" w:rsidRDefault="008D13FA" w:rsidP="008C13C1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10,5</w:t>
            </w:r>
          </w:p>
        </w:tc>
      </w:tr>
      <w:tr w:rsidR="008D13FA" w:rsidRPr="00391E17" w:rsidTr="004B757D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3FA" w:rsidRPr="00391E17" w:rsidRDefault="008D13FA" w:rsidP="008C13C1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15-19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3FA" w:rsidRPr="00391E17" w:rsidRDefault="008D13FA" w:rsidP="008C13C1">
            <w:pPr>
              <w:spacing w:after="0" w:line="240" w:lineRule="auto"/>
              <w:jc w:val="center"/>
              <w:rPr>
                <w:rFonts w:ascii="Sylfaen" w:eastAsia="Times New Roman" w:hAnsi="Sylfaen"/>
                <w:lang w:val="en-US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3FA" w:rsidRPr="00391E17" w:rsidRDefault="008D13FA" w:rsidP="008C13C1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en-US" w:eastAsia="ru-RU"/>
              </w:rPr>
              <w:t>11</w:t>
            </w:r>
          </w:p>
        </w:tc>
      </w:tr>
      <w:tr w:rsidR="008D13FA" w:rsidRPr="00391E17" w:rsidTr="004B757D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3FA" w:rsidRPr="00391E17" w:rsidRDefault="008D13FA" w:rsidP="008C13C1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20-29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3FA" w:rsidRPr="00391E17" w:rsidRDefault="008D13FA" w:rsidP="008C13C1">
            <w:pPr>
              <w:spacing w:after="0" w:line="240" w:lineRule="auto"/>
              <w:jc w:val="center"/>
              <w:rPr>
                <w:rFonts w:ascii="Sylfaen" w:eastAsia="Times New Roman" w:hAnsi="Sylfaen"/>
                <w:lang w:val="en-US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3FA" w:rsidRPr="00391E17" w:rsidRDefault="008D13FA" w:rsidP="008C13C1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 w:rsidRPr="00391E17">
              <w:rPr>
                <w:rFonts w:eastAsia="Times New Roman"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/>
                <w:color w:val="000000"/>
                <w:lang w:val="ka-GE" w:eastAsia="ru-RU"/>
              </w:rPr>
              <w:t>4,4</w:t>
            </w:r>
          </w:p>
        </w:tc>
      </w:tr>
      <w:tr w:rsidR="008D13FA" w:rsidRPr="00391E17" w:rsidTr="004B757D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3FA" w:rsidRPr="00391E17" w:rsidRDefault="008D13FA" w:rsidP="008C13C1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30-40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3FA" w:rsidRPr="00D30748" w:rsidRDefault="008D13FA" w:rsidP="008C13C1">
            <w:pPr>
              <w:spacing w:after="0" w:line="240" w:lineRule="auto"/>
              <w:jc w:val="center"/>
              <w:rPr>
                <w:rFonts w:ascii="Sylfaen" w:eastAsia="Times New Roman" w:hAnsi="Sylfaen"/>
                <w:lang w:val="en-US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3FA" w:rsidRPr="00391E17" w:rsidRDefault="008D13FA" w:rsidP="008C13C1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25,3</w:t>
            </w:r>
          </w:p>
        </w:tc>
      </w:tr>
      <w:tr w:rsidR="008D13FA" w:rsidRPr="00391E17" w:rsidTr="004B757D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3FA" w:rsidRPr="00391E17" w:rsidRDefault="008D13FA" w:rsidP="008C13C1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40+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3FA" w:rsidRPr="00391E17" w:rsidRDefault="008D13FA" w:rsidP="008C13C1">
            <w:pPr>
              <w:spacing w:after="0" w:line="240" w:lineRule="auto"/>
              <w:jc w:val="center"/>
              <w:rPr>
                <w:rFonts w:ascii="Sylfaen" w:eastAsia="Times New Roman" w:hAnsi="Sylfaen"/>
                <w:lang w:val="ka-GE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3FA" w:rsidRPr="00391E17" w:rsidRDefault="008D13FA" w:rsidP="008C13C1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en-US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6,7</w:t>
            </w:r>
          </w:p>
        </w:tc>
      </w:tr>
      <w:tr w:rsidR="008D13FA" w:rsidRPr="00391E17" w:rsidTr="004B757D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3FA" w:rsidRPr="00391E17" w:rsidRDefault="008D13FA" w:rsidP="008C13C1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სულ</w:t>
            </w:r>
          </w:p>
          <w:p w:rsidR="008D13FA" w:rsidRPr="00391E17" w:rsidRDefault="008D13FA" w:rsidP="008C13C1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3FA" w:rsidRPr="00391E17" w:rsidRDefault="008D13FA" w:rsidP="008C13C1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ka-GE" w:eastAsia="ru-RU"/>
              </w:rPr>
            </w:pPr>
            <w:r>
              <w:rPr>
                <w:rFonts w:ascii="Sylfaen" w:eastAsia="Times New Roman" w:hAnsi="Sylfaen"/>
                <w:b/>
                <w:lang w:val="ka-GE" w:eastAsia="ru-RU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13FA" w:rsidRPr="00391E17" w:rsidRDefault="008D13FA" w:rsidP="008C13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100</w:t>
            </w:r>
          </w:p>
        </w:tc>
      </w:tr>
    </w:tbl>
    <w:p w:rsidR="008D13FA" w:rsidRDefault="008D13FA" w:rsidP="002723AA">
      <w:pPr>
        <w:rPr>
          <w:rFonts w:ascii="Sylfaen" w:hAnsi="Sylfaen"/>
          <w:lang w:val="ka-GE"/>
        </w:rPr>
      </w:pPr>
    </w:p>
    <w:p w:rsidR="008149D4" w:rsidRPr="00017DEC" w:rsidRDefault="008149D4" w:rsidP="002723AA">
      <w:pPr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lastRenderedPageBreak/>
        <w:t>გრიპის გავცელება:</w:t>
      </w:r>
    </w:p>
    <w:p w:rsidR="00896237" w:rsidRDefault="00896237" w:rsidP="0064237F">
      <w:pPr>
        <w:rPr>
          <w:rFonts w:ascii="Sylfaen" w:hAnsi="Sylfaen"/>
          <w:lang w:val="ka-GE"/>
        </w:rPr>
      </w:pPr>
      <w:r w:rsidRPr="00896237">
        <w:rPr>
          <w:rFonts w:ascii="Sylfaen" w:hAnsi="Sylfaen"/>
          <w:lang w:val="ka-GE"/>
        </w:rPr>
        <w:drawing>
          <wp:inline distT="0" distB="0" distL="0" distR="0" wp14:anchorId="1A7E3865" wp14:editId="5DFDCFE8">
            <wp:extent cx="8458200" cy="4757738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89585" cy="4775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237" w:rsidRDefault="00896237" w:rsidP="0064237F">
      <w:pPr>
        <w:rPr>
          <w:rFonts w:ascii="Sylfaen" w:hAnsi="Sylfaen"/>
          <w:lang w:val="ka-GE"/>
        </w:rPr>
      </w:pPr>
    </w:p>
    <w:p w:rsidR="00896237" w:rsidRDefault="00896237" w:rsidP="0064237F">
      <w:pPr>
        <w:rPr>
          <w:rFonts w:ascii="Sylfaen" w:hAnsi="Sylfaen"/>
          <w:lang w:val="ka-GE"/>
        </w:rPr>
      </w:pPr>
    </w:p>
    <w:p w:rsidR="00896237" w:rsidRDefault="00896237" w:rsidP="0064237F">
      <w:pPr>
        <w:rPr>
          <w:rFonts w:ascii="Sylfaen" w:hAnsi="Sylfaen"/>
          <w:lang w:val="ka-GE"/>
        </w:rPr>
      </w:pPr>
    </w:p>
    <w:p w:rsidR="00896237" w:rsidRDefault="00896237" w:rsidP="0064237F">
      <w:pPr>
        <w:rPr>
          <w:rFonts w:ascii="Sylfaen" w:hAnsi="Sylfaen"/>
          <w:lang w:val="ka-GE"/>
        </w:rPr>
      </w:pPr>
      <w:r w:rsidRPr="00896237">
        <w:rPr>
          <w:rFonts w:ascii="Sylfaen" w:hAnsi="Sylfaen"/>
          <w:lang w:val="ka-GE"/>
        </w:rPr>
        <w:drawing>
          <wp:inline distT="0" distB="0" distL="0" distR="0" wp14:anchorId="38CE8DF1" wp14:editId="0D1CEF43">
            <wp:extent cx="9448798" cy="531495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05438" cy="534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237" w:rsidRDefault="00896237" w:rsidP="0064237F">
      <w:pPr>
        <w:rPr>
          <w:rFonts w:ascii="Sylfaen" w:hAnsi="Sylfaen"/>
          <w:lang w:val="ka-GE"/>
        </w:rPr>
      </w:pPr>
    </w:p>
    <w:p w:rsidR="00896237" w:rsidRDefault="00896237" w:rsidP="0064237F">
      <w:pPr>
        <w:rPr>
          <w:rFonts w:ascii="Sylfaen" w:hAnsi="Sylfaen"/>
          <w:lang w:val="ka-GE"/>
        </w:rPr>
      </w:pPr>
    </w:p>
    <w:p w:rsidR="00896237" w:rsidRDefault="00896237" w:rsidP="0064237F">
      <w:pPr>
        <w:rPr>
          <w:rFonts w:ascii="Sylfaen" w:hAnsi="Sylfaen"/>
          <w:lang w:val="ka-GE"/>
        </w:rPr>
      </w:pPr>
      <w:r>
        <w:rPr>
          <w:rFonts w:ascii="Sylfaen" w:hAnsi="Sylfaen"/>
          <w:noProof/>
          <w:lang w:val="en-US"/>
        </w:rPr>
        <w:drawing>
          <wp:inline distT="0" distB="0" distL="0" distR="0" wp14:anchorId="7E4BB28D">
            <wp:extent cx="9194055" cy="5172075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8311" cy="518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6237" w:rsidRDefault="00896237" w:rsidP="0064237F">
      <w:pPr>
        <w:rPr>
          <w:rFonts w:ascii="Sylfaen" w:hAnsi="Sylfaen"/>
          <w:lang w:val="ka-GE"/>
        </w:rPr>
      </w:pPr>
    </w:p>
    <w:p w:rsidR="00896237" w:rsidRDefault="00896237" w:rsidP="0064237F">
      <w:pPr>
        <w:rPr>
          <w:rFonts w:ascii="Sylfaen" w:hAnsi="Sylfaen"/>
          <w:lang w:val="ka-GE"/>
        </w:rPr>
      </w:pPr>
    </w:p>
    <w:p w:rsidR="008149D4" w:rsidRDefault="008149D4" w:rsidP="008149D4">
      <w:pPr>
        <w:pStyle w:val="NormalWeb"/>
        <w:rPr>
          <w:rFonts w:ascii="Sylfaen" w:hAnsi="Sylfaen" w:cs="Calibri"/>
          <w:color w:val="000000"/>
          <w:lang w:val="ka-GE"/>
        </w:rPr>
      </w:pPr>
      <w:r w:rsidRPr="008149D4">
        <w:rPr>
          <w:rFonts w:ascii="Sylfaen" w:hAnsi="Sylfaen" w:cs="Sylfaen"/>
          <w:color w:val="000000"/>
          <w:lang w:val="ka-GE"/>
        </w:rPr>
        <w:t>მე</w:t>
      </w:r>
      <w:r w:rsidRPr="008149D4">
        <w:rPr>
          <w:rFonts w:ascii="Calibri" w:hAnsi="Calibri" w:cs="Calibri"/>
          <w:color w:val="000000"/>
          <w:lang w:val="ka-GE"/>
        </w:rPr>
        <w:t xml:space="preserve">-40 </w:t>
      </w:r>
      <w:r w:rsidRPr="008149D4">
        <w:rPr>
          <w:rFonts w:ascii="Sylfaen" w:hAnsi="Sylfaen" w:cs="Sylfaen"/>
          <w:color w:val="000000"/>
          <w:lang w:val="ka-GE"/>
        </w:rPr>
        <w:t>კვირიდან</w:t>
      </w:r>
      <w:r w:rsidRPr="008149D4">
        <w:rPr>
          <w:rFonts w:ascii="Calibri" w:hAnsi="Calibri" w:cs="Calibri"/>
          <w:color w:val="000000"/>
          <w:lang w:val="ka-GE"/>
        </w:rPr>
        <w:t xml:space="preserve"> </w:t>
      </w:r>
      <w:r w:rsidRPr="008149D4">
        <w:rPr>
          <w:rFonts w:ascii="Sylfaen" w:hAnsi="Sylfaen" w:cs="Sylfaen"/>
          <w:color w:val="000000"/>
          <w:lang w:val="ka-GE"/>
        </w:rPr>
        <w:t>დღევანდელი</w:t>
      </w:r>
      <w:r w:rsidRPr="008149D4">
        <w:rPr>
          <w:rFonts w:ascii="Calibri" w:hAnsi="Calibri" w:cs="Calibri"/>
          <w:color w:val="000000"/>
          <w:lang w:val="ka-GE"/>
        </w:rPr>
        <w:t xml:space="preserve"> </w:t>
      </w:r>
      <w:r w:rsidRPr="008149D4">
        <w:rPr>
          <w:rFonts w:ascii="Sylfaen" w:hAnsi="Sylfaen" w:cs="Sylfaen"/>
          <w:color w:val="000000"/>
          <w:lang w:val="ka-GE"/>
        </w:rPr>
        <w:t>დღის</w:t>
      </w:r>
      <w:r w:rsidRPr="008149D4">
        <w:rPr>
          <w:rFonts w:ascii="Calibri" w:hAnsi="Calibri" w:cs="Calibri"/>
          <w:color w:val="000000"/>
          <w:lang w:val="ka-GE"/>
        </w:rPr>
        <w:t xml:space="preserve"> </w:t>
      </w:r>
      <w:r w:rsidRPr="008149D4">
        <w:rPr>
          <w:rFonts w:ascii="Sylfaen" w:hAnsi="Sylfaen" w:cs="Sylfaen"/>
          <w:color w:val="000000"/>
          <w:lang w:val="ka-GE"/>
        </w:rPr>
        <w:t>ჩათვლით</w:t>
      </w:r>
      <w:r w:rsidRPr="008149D4">
        <w:rPr>
          <w:rFonts w:ascii="Calibri" w:hAnsi="Calibri" w:cs="Calibri"/>
          <w:color w:val="000000"/>
          <w:lang w:val="ka-GE"/>
        </w:rPr>
        <w:t xml:space="preserve"> </w:t>
      </w:r>
      <w:r w:rsidRPr="008149D4">
        <w:rPr>
          <w:rFonts w:ascii="Sylfaen" w:hAnsi="Sylfaen" w:cs="Sylfaen"/>
          <w:color w:val="000000"/>
          <w:lang w:val="ka-GE"/>
        </w:rPr>
        <w:t>სულ</w:t>
      </w:r>
      <w:r w:rsidRPr="008149D4">
        <w:rPr>
          <w:rFonts w:ascii="Calibri" w:hAnsi="Calibri" w:cs="Calibri"/>
          <w:color w:val="000000"/>
          <w:lang w:val="ka-GE"/>
        </w:rPr>
        <w:t xml:space="preserve"> </w:t>
      </w:r>
      <w:r>
        <w:rPr>
          <w:rFonts w:ascii="Sylfaen" w:hAnsi="Sylfaen" w:cs="Calibri"/>
          <w:color w:val="000000"/>
          <w:lang w:val="ka-GE"/>
        </w:rPr>
        <w:t xml:space="preserve">რესპირაციულ პათოგენებზე კვლევისთვის </w:t>
      </w:r>
      <w:r w:rsidRPr="008149D4">
        <w:rPr>
          <w:rFonts w:ascii="Sylfaen" w:hAnsi="Sylfaen" w:cs="Sylfaen"/>
          <w:color w:val="000000"/>
          <w:lang w:val="ka-GE"/>
        </w:rPr>
        <w:t>შემოსულია</w:t>
      </w:r>
      <w:r w:rsidRPr="008149D4">
        <w:rPr>
          <w:rFonts w:ascii="Calibri" w:hAnsi="Calibri" w:cs="Calibri"/>
          <w:color w:val="000000"/>
          <w:lang w:val="ka-GE"/>
        </w:rPr>
        <w:t xml:space="preserve"> 556 </w:t>
      </w:r>
      <w:r w:rsidRPr="008149D4">
        <w:rPr>
          <w:rFonts w:ascii="Sylfaen" w:hAnsi="Sylfaen" w:cs="Sylfaen"/>
          <w:color w:val="000000"/>
          <w:lang w:val="ka-GE"/>
        </w:rPr>
        <w:t>ნიმუში</w:t>
      </w:r>
      <w:r w:rsidRPr="008149D4">
        <w:rPr>
          <w:rFonts w:ascii="Calibri" w:hAnsi="Calibri" w:cs="Calibri"/>
          <w:color w:val="000000"/>
          <w:lang w:val="ka-GE"/>
        </w:rPr>
        <w:t xml:space="preserve">, </w:t>
      </w:r>
      <w:r w:rsidRPr="008149D4">
        <w:rPr>
          <w:rFonts w:ascii="Sylfaen" w:hAnsi="Sylfaen" w:cs="Sylfaen"/>
          <w:color w:val="000000"/>
          <w:lang w:val="ka-GE"/>
        </w:rPr>
        <w:t>აქედან</w:t>
      </w:r>
      <w:r w:rsidRPr="008149D4">
        <w:rPr>
          <w:rFonts w:ascii="Calibri" w:hAnsi="Calibri" w:cs="Calibri"/>
          <w:color w:val="000000"/>
          <w:lang w:val="ka-GE"/>
        </w:rPr>
        <w:t xml:space="preserve"> </w:t>
      </w:r>
      <w:r>
        <w:rPr>
          <w:rFonts w:ascii="Sylfaen" w:hAnsi="Sylfaen" w:cs="Calibri"/>
          <w:color w:val="000000"/>
          <w:lang w:val="ka-GE"/>
        </w:rPr>
        <w:t xml:space="preserve">გრიპზე </w:t>
      </w:r>
      <w:r w:rsidRPr="008149D4">
        <w:rPr>
          <w:rFonts w:ascii="Sylfaen" w:hAnsi="Sylfaen" w:cs="Sylfaen"/>
          <w:color w:val="000000"/>
          <w:lang w:val="ka-GE"/>
        </w:rPr>
        <w:t>დადებითია</w:t>
      </w:r>
      <w:r w:rsidRPr="008149D4">
        <w:rPr>
          <w:rFonts w:ascii="Calibri" w:hAnsi="Calibri" w:cs="Calibri"/>
          <w:color w:val="000000"/>
          <w:lang w:val="ka-GE"/>
        </w:rPr>
        <w:t xml:space="preserve"> 298 </w:t>
      </w:r>
      <w:r w:rsidRPr="008149D4">
        <w:rPr>
          <w:rFonts w:ascii="Sylfaen" w:hAnsi="Sylfaen" w:cs="Sylfaen"/>
          <w:color w:val="000000"/>
          <w:lang w:val="ka-GE"/>
        </w:rPr>
        <w:t>ნიმუში</w:t>
      </w:r>
      <w:r w:rsidRPr="008149D4">
        <w:rPr>
          <w:rFonts w:ascii="Calibri" w:hAnsi="Calibri" w:cs="Calibri"/>
          <w:color w:val="000000"/>
          <w:lang w:val="ka-GE"/>
        </w:rPr>
        <w:t xml:space="preserve">: 291 A/H1pdm09 </w:t>
      </w:r>
      <w:r w:rsidRPr="008149D4">
        <w:rPr>
          <w:rFonts w:ascii="Sylfaen" w:hAnsi="Sylfaen" w:cs="Sylfaen"/>
          <w:color w:val="000000"/>
          <w:lang w:val="ka-GE"/>
        </w:rPr>
        <w:t>და</w:t>
      </w:r>
      <w:r w:rsidRPr="008149D4">
        <w:rPr>
          <w:rFonts w:ascii="Calibri" w:hAnsi="Calibri" w:cs="Calibri"/>
          <w:color w:val="000000"/>
          <w:lang w:val="ka-GE"/>
        </w:rPr>
        <w:t> 7 A/H3.</w:t>
      </w:r>
      <w:r>
        <w:rPr>
          <w:rFonts w:ascii="Sylfaen" w:hAnsi="Sylfaen" w:cs="Calibri"/>
          <w:color w:val="000000"/>
          <w:lang w:val="ka-GE"/>
        </w:rPr>
        <w:t xml:space="preserve"> </w:t>
      </w:r>
      <w:r w:rsidRPr="008149D4">
        <w:rPr>
          <w:rFonts w:ascii="Calibri" w:hAnsi="Calibri" w:cs="Calibri"/>
          <w:color w:val="000000"/>
          <w:lang w:val="ka-GE"/>
        </w:rPr>
        <w:t xml:space="preserve">4 </w:t>
      </w:r>
      <w:r w:rsidRPr="008149D4">
        <w:rPr>
          <w:rFonts w:ascii="Sylfaen" w:hAnsi="Sylfaen" w:cs="Sylfaen"/>
          <w:color w:val="000000"/>
          <w:lang w:val="ka-GE"/>
        </w:rPr>
        <w:t>რჩება</w:t>
      </w:r>
      <w:r w:rsidRPr="008149D4">
        <w:rPr>
          <w:rFonts w:ascii="Calibri" w:hAnsi="Calibri" w:cs="Calibri"/>
          <w:color w:val="000000"/>
          <w:lang w:val="ka-GE"/>
        </w:rPr>
        <w:t xml:space="preserve"> </w:t>
      </w:r>
      <w:r w:rsidRPr="008149D4">
        <w:rPr>
          <w:rFonts w:ascii="Sylfaen" w:hAnsi="Sylfaen" w:cs="Sylfaen"/>
          <w:color w:val="000000"/>
          <w:lang w:val="ka-GE"/>
        </w:rPr>
        <w:t>კვლევაში</w:t>
      </w:r>
      <w:r w:rsidRPr="008149D4">
        <w:rPr>
          <w:rFonts w:ascii="Calibri" w:hAnsi="Calibri" w:cs="Calibri"/>
          <w:color w:val="000000"/>
          <w:lang w:val="ka-GE"/>
        </w:rPr>
        <w:t xml:space="preserve">, </w:t>
      </w:r>
      <w:r w:rsidRPr="008149D4">
        <w:rPr>
          <w:rFonts w:ascii="Sylfaen" w:hAnsi="Sylfaen" w:cs="Sylfaen"/>
          <w:color w:val="000000"/>
          <w:lang w:val="ka-GE"/>
        </w:rPr>
        <w:t>საეჭვოებია</w:t>
      </w:r>
      <w:r w:rsidRPr="008149D4">
        <w:rPr>
          <w:rFonts w:ascii="Calibri" w:hAnsi="Calibri" w:cs="Calibri"/>
          <w:color w:val="000000"/>
          <w:lang w:val="ka-GE"/>
        </w:rPr>
        <w:t> A/H1pdm09-</w:t>
      </w:r>
      <w:r w:rsidRPr="008149D4">
        <w:rPr>
          <w:rFonts w:ascii="Sylfaen" w:hAnsi="Sylfaen" w:cs="Sylfaen"/>
          <w:color w:val="000000"/>
          <w:lang w:val="ka-GE"/>
        </w:rPr>
        <w:t>ზე</w:t>
      </w:r>
      <w:r w:rsidRPr="008149D4">
        <w:rPr>
          <w:rFonts w:ascii="Calibri" w:hAnsi="Calibri" w:cs="Calibri"/>
          <w:color w:val="000000"/>
          <w:lang w:val="ka-GE"/>
        </w:rPr>
        <w:t>.</w:t>
      </w:r>
    </w:p>
    <w:p w:rsidR="008149D4" w:rsidRDefault="008149D4" w:rsidP="008149D4">
      <w:pPr>
        <w:pStyle w:val="NormalWeb"/>
        <w:rPr>
          <w:rFonts w:ascii="Sylfaen" w:hAnsi="Sylfaen" w:cs="Calibri"/>
          <w:color w:val="000000"/>
          <w:lang w:val="ka-GE"/>
        </w:rPr>
      </w:pPr>
    </w:p>
    <w:p w:rsidR="00017DEC" w:rsidRPr="00017DEC" w:rsidRDefault="00017DEC" w:rsidP="008149D4">
      <w:pPr>
        <w:pStyle w:val="NormalWeb"/>
        <w:rPr>
          <w:rFonts w:ascii="Sylfaen" w:hAnsi="Sylfaen" w:cs="Calibri"/>
          <w:color w:val="000000"/>
          <w:lang w:val="ka-GE"/>
        </w:rPr>
      </w:pPr>
      <w:r>
        <w:rPr>
          <w:rFonts w:ascii="Sylfaen" w:hAnsi="Sylfaen" w:cs="Calibri"/>
          <w:color w:val="000000"/>
          <w:lang w:val="ka-GE"/>
        </w:rPr>
        <w:t xml:space="preserve">გრიპის გავრცელების ინტენსივობის მატება აღირიცხა 2018 წლის 51-ე კალენდარული კვირიდან და 2019 წლის პირველ და მე-2 კვირაში სეიმცნევა ფრიპისმაგვარი დაავადებების კლების მცირე ტენდენცია. ანალოგიურ სურათს იძლევა </w:t>
      </w:r>
      <w:r>
        <w:rPr>
          <w:rFonts w:ascii="Sylfaen" w:hAnsi="Sylfaen" w:cs="Calibri"/>
          <w:color w:val="000000"/>
        </w:rPr>
        <w:t>SARI-</w:t>
      </w:r>
      <w:r>
        <w:rPr>
          <w:rFonts w:ascii="Sylfaen" w:hAnsi="Sylfaen" w:cs="Calibri"/>
          <w:color w:val="000000"/>
          <w:lang w:val="ka-GE"/>
        </w:rPr>
        <w:t>ის წილი საერთო ჰოსპიტალიზაციაში. გრიპის გავრცელება სავარაუდოდ გაგრძელდება მომავალი 2-5 კვირის განმავლობაში - ინტენსივობის კლების ტენდენციით.</w:t>
      </w:r>
    </w:p>
    <w:p w:rsidR="008149D4" w:rsidRPr="008149D4" w:rsidRDefault="008149D4" w:rsidP="008149D4">
      <w:pPr>
        <w:pStyle w:val="NormalWeb"/>
        <w:rPr>
          <w:rFonts w:ascii="Sylfaen" w:hAnsi="Sylfaen" w:cs="Calibri"/>
          <w:color w:val="000000"/>
          <w:lang w:val="ka-GE"/>
        </w:rPr>
      </w:pPr>
    </w:p>
    <w:p w:rsidR="00896237" w:rsidRPr="00017DEC" w:rsidRDefault="00017DEC" w:rsidP="0064237F">
      <w:pPr>
        <w:rPr>
          <w:rFonts w:ascii="Sylfaen" w:hAnsi="Sylfaen"/>
          <w:b/>
          <w:lang w:val="ka-GE"/>
        </w:rPr>
      </w:pPr>
      <w:r w:rsidRPr="00017DEC">
        <w:rPr>
          <w:rFonts w:ascii="Sylfaen" w:hAnsi="Sylfaen"/>
          <w:b/>
          <w:lang w:val="ka-GE"/>
        </w:rPr>
        <w:t>მე-2 კალენდარულ კვირაში:</w:t>
      </w:r>
      <w:bookmarkStart w:id="0" w:name="_GoBack"/>
      <w:bookmarkEnd w:id="0"/>
    </w:p>
    <w:p w:rsidR="0064237F" w:rsidRDefault="0064237F" w:rsidP="0064237F">
      <w:pPr>
        <w:rPr>
          <w:rFonts w:ascii="Sylfaen" w:hAnsi="Sylfaen"/>
          <w:lang w:val="ka-GE"/>
        </w:rPr>
      </w:pPr>
      <w:r w:rsidRPr="002723AA">
        <w:rPr>
          <w:rFonts w:ascii="Sylfaen" w:hAnsi="Sylfaen"/>
          <w:lang w:val="ka-GE"/>
        </w:rPr>
        <w:t xml:space="preserve">დარეგისტრირდა </w:t>
      </w:r>
      <w:r w:rsidRPr="00791404">
        <w:rPr>
          <w:rFonts w:ascii="Sylfaen" w:hAnsi="Sylfaen"/>
          <w:b/>
          <w:lang w:val="ka-GE"/>
        </w:rPr>
        <w:t>მენინგოკოკცემიის</w:t>
      </w:r>
      <w:r w:rsidRPr="002723AA">
        <w:rPr>
          <w:rFonts w:ascii="Sylfaen" w:hAnsi="Sylfaen"/>
          <w:lang w:val="ka-GE"/>
        </w:rPr>
        <w:t xml:space="preserve"> 1 შემთხვევა,</w:t>
      </w:r>
      <w:r>
        <w:rPr>
          <w:rFonts w:ascii="Sylfaen" w:hAnsi="Sylfaen"/>
          <w:lang w:val="ka-GE"/>
        </w:rPr>
        <w:t xml:space="preserve"> 8 წლის გოგონა, ქარელის რაიონიდან. იპც-ს მიმართა 07.01-ს, დიაგნოზი მენინგოკოკცემია. თზს-ს ნიმუში, იპც-ს პარალელურად, გადმოგზავნილი იყო დკსჯეც-ის ლუგარის ლაბორატორიაში პარალელური ტესტირებისათვის და სეროტიპირების დადგენის მიზნით, ლაბორატორიული კვლევის შედეგი უარყოფითია, თუმცა კლინიკური დიაგნოზი მაინც დარჩა მენინგოკოკცემია. </w:t>
      </w:r>
    </w:p>
    <w:p w:rsidR="0064237F" w:rsidRPr="00896237" w:rsidRDefault="0064237F" w:rsidP="002723AA">
      <w:pPr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 xml:space="preserve">რეგისტრირებულია </w:t>
      </w:r>
      <w:r w:rsidRPr="0064237F">
        <w:rPr>
          <w:rFonts w:ascii="Sylfaen" w:hAnsi="Sylfaen"/>
          <w:b/>
          <w:lang w:val="ka-GE"/>
        </w:rPr>
        <w:t>ბოტულიზმის</w:t>
      </w:r>
      <w:r>
        <w:rPr>
          <w:rFonts w:ascii="Sylfaen" w:hAnsi="Sylfaen"/>
          <w:lang w:val="ka-GE"/>
        </w:rPr>
        <w:t xml:space="preserve"> 3 შემთხვევა - 2 კერაში.</w:t>
      </w:r>
    </w:p>
    <w:p w:rsidR="00015ACA" w:rsidRPr="002723AA" w:rsidRDefault="00015ACA" w:rsidP="002723AA">
      <w:pPr>
        <w:rPr>
          <w:rFonts w:ascii="Sylfaen" w:hAnsi="Sylfaen"/>
          <w:lang w:val="ka-GE"/>
        </w:rPr>
      </w:pPr>
    </w:p>
    <w:sectPr w:rsidR="00015ACA" w:rsidRPr="002723AA" w:rsidSect="006E42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E98"/>
    <w:rsid w:val="00015ACA"/>
    <w:rsid w:val="00017C94"/>
    <w:rsid w:val="00017DEC"/>
    <w:rsid w:val="000254B4"/>
    <w:rsid w:val="0006366C"/>
    <w:rsid w:val="00066C12"/>
    <w:rsid w:val="00071F88"/>
    <w:rsid w:val="00087FBD"/>
    <w:rsid w:val="000A6DEA"/>
    <w:rsid w:val="000C65E2"/>
    <w:rsid w:val="000C7C5A"/>
    <w:rsid w:val="000D7306"/>
    <w:rsid w:val="000E69EA"/>
    <w:rsid w:val="00120B3D"/>
    <w:rsid w:val="00133BDF"/>
    <w:rsid w:val="00141E99"/>
    <w:rsid w:val="00150FC2"/>
    <w:rsid w:val="0015749D"/>
    <w:rsid w:val="00164D76"/>
    <w:rsid w:val="001665CC"/>
    <w:rsid w:val="001A4398"/>
    <w:rsid w:val="001B72CE"/>
    <w:rsid w:val="001D5406"/>
    <w:rsid w:val="001E065F"/>
    <w:rsid w:val="0025279E"/>
    <w:rsid w:val="002723AA"/>
    <w:rsid w:val="002B16A2"/>
    <w:rsid w:val="002C2193"/>
    <w:rsid w:val="002D48AB"/>
    <w:rsid w:val="002E2EA8"/>
    <w:rsid w:val="0030226F"/>
    <w:rsid w:val="003103CF"/>
    <w:rsid w:val="00326F07"/>
    <w:rsid w:val="00330AE7"/>
    <w:rsid w:val="00352FFF"/>
    <w:rsid w:val="0035431D"/>
    <w:rsid w:val="00367862"/>
    <w:rsid w:val="003D5D3E"/>
    <w:rsid w:val="003E016C"/>
    <w:rsid w:val="0040328C"/>
    <w:rsid w:val="00437B77"/>
    <w:rsid w:val="004B757D"/>
    <w:rsid w:val="004E6977"/>
    <w:rsid w:val="004F7F58"/>
    <w:rsid w:val="00510343"/>
    <w:rsid w:val="005364CC"/>
    <w:rsid w:val="00541AE7"/>
    <w:rsid w:val="00551DBE"/>
    <w:rsid w:val="00554537"/>
    <w:rsid w:val="00577481"/>
    <w:rsid w:val="005A3A48"/>
    <w:rsid w:val="005B0E5F"/>
    <w:rsid w:val="00603D8F"/>
    <w:rsid w:val="00613BAD"/>
    <w:rsid w:val="00627182"/>
    <w:rsid w:val="00630EE2"/>
    <w:rsid w:val="0064237F"/>
    <w:rsid w:val="0065724B"/>
    <w:rsid w:val="00673E7F"/>
    <w:rsid w:val="006A6800"/>
    <w:rsid w:val="006D2AAF"/>
    <w:rsid w:val="006D7368"/>
    <w:rsid w:val="006E42BD"/>
    <w:rsid w:val="00713E28"/>
    <w:rsid w:val="00717063"/>
    <w:rsid w:val="00721930"/>
    <w:rsid w:val="00724C9B"/>
    <w:rsid w:val="007407D8"/>
    <w:rsid w:val="00767AB4"/>
    <w:rsid w:val="00791404"/>
    <w:rsid w:val="00801E94"/>
    <w:rsid w:val="008149D4"/>
    <w:rsid w:val="008168DB"/>
    <w:rsid w:val="00850055"/>
    <w:rsid w:val="00853534"/>
    <w:rsid w:val="008722D7"/>
    <w:rsid w:val="008936F3"/>
    <w:rsid w:val="00895465"/>
    <w:rsid w:val="00896237"/>
    <w:rsid w:val="008D13FA"/>
    <w:rsid w:val="00903F13"/>
    <w:rsid w:val="0092619F"/>
    <w:rsid w:val="00944504"/>
    <w:rsid w:val="00955490"/>
    <w:rsid w:val="009741A7"/>
    <w:rsid w:val="009B49C6"/>
    <w:rsid w:val="009F0104"/>
    <w:rsid w:val="00A11482"/>
    <w:rsid w:val="00A20BCF"/>
    <w:rsid w:val="00A24E8A"/>
    <w:rsid w:val="00A3743C"/>
    <w:rsid w:val="00A66999"/>
    <w:rsid w:val="00A7195E"/>
    <w:rsid w:val="00AA4820"/>
    <w:rsid w:val="00AF22AF"/>
    <w:rsid w:val="00AF7E98"/>
    <w:rsid w:val="00B22575"/>
    <w:rsid w:val="00B240C5"/>
    <w:rsid w:val="00BA0A81"/>
    <w:rsid w:val="00BA5BCD"/>
    <w:rsid w:val="00BB6F05"/>
    <w:rsid w:val="00BF54EF"/>
    <w:rsid w:val="00C17C76"/>
    <w:rsid w:val="00C42A31"/>
    <w:rsid w:val="00C51420"/>
    <w:rsid w:val="00C9336F"/>
    <w:rsid w:val="00CB68E8"/>
    <w:rsid w:val="00CB7169"/>
    <w:rsid w:val="00CB7915"/>
    <w:rsid w:val="00CE698B"/>
    <w:rsid w:val="00CF562E"/>
    <w:rsid w:val="00D03535"/>
    <w:rsid w:val="00D11BD1"/>
    <w:rsid w:val="00D1454D"/>
    <w:rsid w:val="00D214EC"/>
    <w:rsid w:val="00D45404"/>
    <w:rsid w:val="00D53489"/>
    <w:rsid w:val="00D76329"/>
    <w:rsid w:val="00D823DD"/>
    <w:rsid w:val="00DD41F7"/>
    <w:rsid w:val="00DF0E09"/>
    <w:rsid w:val="00DF7632"/>
    <w:rsid w:val="00E06EA8"/>
    <w:rsid w:val="00E1583D"/>
    <w:rsid w:val="00E16712"/>
    <w:rsid w:val="00E2263B"/>
    <w:rsid w:val="00E25BC2"/>
    <w:rsid w:val="00E56EAB"/>
    <w:rsid w:val="00E620F0"/>
    <w:rsid w:val="00E74274"/>
    <w:rsid w:val="00EC3D0E"/>
    <w:rsid w:val="00EF5A58"/>
    <w:rsid w:val="00F32AEC"/>
    <w:rsid w:val="00F45419"/>
    <w:rsid w:val="00F6352A"/>
    <w:rsid w:val="00F73FD4"/>
    <w:rsid w:val="00F81F51"/>
    <w:rsid w:val="00F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EDA797-83A6-4643-B11C-A5768D9E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149D4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 baseline="0"/>
              <a:t>წითელას შემთხვევები, იმერეთში, თბილისსა და სხვა რეგიონებში,</a:t>
            </a:r>
            <a:endParaRPr lang="en-US" sz="1200" baseline="0"/>
          </a:p>
          <a:p>
            <a:pPr>
              <a:defRPr/>
            </a:pPr>
            <a:r>
              <a:rPr lang="en-US" sz="1200" baseline="0"/>
              <a:t>01.01.2018-</a:t>
            </a:r>
            <a:r>
              <a:rPr lang="en-US" sz="1200" b="0" i="0" u="none" strike="noStrike" baseline="0">
                <a:effectLst/>
              </a:rPr>
              <a:t>14</a:t>
            </a:r>
            <a:r>
              <a:rPr lang="ka-GE" sz="1200" b="0" i="0" u="none" strike="noStrike" baseline="0">
                <a:effectLst/>
              </a:rPr>
              <a:t>.</a:t>
            </a:r>
            <a:r>
              <a:rPr lang="en-US" sz="1200" b="0" i="0" u="none" strike="noStrike" baseline="0">
                <a:effectLst/>
              </a:rPr>
              <a:t>0</a:t>
            </a:r>
            <a:r>
              <a:rPr lang="ka-GE" sz="1200" b="0" i="0" u="none" strike="noStrike" baseline="0">
                <a:effectLst/>
              </a:rPr>
              <a:t>1.201</a:t>
            </a:r>
            <a:r>
              <a:rPr lang="en-US" sz="1200" b="0" i="0" u="none" strike="noStrike" baseline="0">
                <a:effectLst/>
              </a:rPr>
              <a:t>9</a:t>
            </a:r>
            <a:r>
              <a:rPr lang="ka-GE" sz="1200" b="0" i="0" u="none" strike="noStrike" baseline="0">
                <a:effectLst/>
              </a:rPr>
              <a:t> </a:t>
            </a:r>
            <a:endParaRPr lang="en-GB" sz="1200" baseline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680355059784194"/>
          <c:y val="0.20476190476190476"/>
          <c:w val="0.86773348643919512"/>
          <c:h val="0.57945100612423439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იმერეთი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solidFill>
                  <a:srgbClr val="FF0000"/>
                </a:solidFill>
              </a:ln>
              <a:effectLst/>
            </c:spPr>
          </c:marker>
          <c:cat>
            <c:strRef>
              <c:f>Sheet1!$A$2:$A$55</c:f>
              <c:strCache>
                <c:ptCount val="5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1 2019</c:v>
                </c:pt>
                <c:pt idx="53">
                  <c:v>2</c:v>
                </c:pt>
              </c:strCache>
            </c:strRef>
          </c:cat>
          <c:val>
            <c:numRef>
              <c:f>Sheet1!$B$2:$B$55</c:f>
              <c:numCache>
                <c:formatCode>General</c:formatCode>
                <c:ptCount val="5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0</c:v>
                </c:pt>
                <c:pt idx="6">
                  <c:v>4</c:v>
                </c:pt>
                <c:pt idx="7">
                  <c:v>4</c:v>
                </c:pt>
                <c:pt idx="8">
                  <c:v>3</c:v>
                </c:pt>
                <c:pt idx="9">
                  <c:v>8</c:v>
                </c:pt>
                <c:pt idx="10">
                  <c:v>5</c:v>
                </c:pt>
                <c:pt idx="11">
                  <c:v>6</c:v>
                </c:pt>
                <c:pt idx="12">
                  <c:v>1</c:v>
                </c:pt>
                <c:pt idx="13">
                  <c:v>5</c:v>
                </c:pt>
                <c:pt idx="14">
                  <c:v>5</c:v>
                </c:pt>
                <c:pt idx="15">
                  <c:v>14</c:v>
                </c:pt>
                <c:pt idx="16">
                  <c:v>4</c:v>
                </c:pt>
                <c:pt idx="17">
                  <c:v>11</c:v>
                </c:pt>
                <c:pt idx="18">
                  <c:v>5</c:v>
                </c:pt>
                <c:pt idx="19">
                  <c:v>25</c:v>
                </c:pt>
                <c:pt idx="20">
                  <c:v>10</c:v>
                </c:pt>
                <c:pt idx="21">
                  <c:v>25</c:v>
                </c:pt>
                <c:pt idx="22">
                  <c:v>12</c:v>
                </c:pt>
                <c:pt idx="23">
                  <c:v>19</c:v>
                </c:pt>
                <c:pt idx="24">
                  <c:v>10</c:v>
                </c:pt>
                <c:pt idx="25">
                  <c:v>12</c:v>
                </c:pt>
                <c:pt idx="26">
                  <c:v>22</c:v>
                </c:pt>
                <c:pt idx="27">
                  <c:v>27</c:v>
                </c:pt>
                <c:pt idx="28">
                  <c:v>13</c:v>
                </c:pt>
                <c:pt idx="29">
                  <c:v>7</c:v>
                </c:pt>
                <c:pt idx="30">
                  <c:v>9</c:v>
                </c:pt>
                <c:pt idx="31">
                  <c:v>9</c:v>
                </c:pt>
                <c:pt idx="32">
                  <c:v>6</c:v>
                </c:pt>
                <c:pt idx="33">
                  <c:v>9</c:v>
                </c:pt>
                <c:pt idx="34">
                  <c:v>11</c:v>
                </c:pt>
                <c:pt idx="35">
                  <c:v>8</c:v>
                </c:pt>
                <c:pt idx="36">
                  <c:v>7</c:v>
                </c:pt>
                <c:pt idx="37">
                  <c:v>5</c:v>
                </c:pt>
                <c:pt idx="38">
                  <c:v>3</c:v>
                </c:pt>
                <c:pt idx="39">
                  <c:v>4</c:v>
                </c:pt>
                <c:pt idx="40">
                  <c:v>13</c:v>
                </c:pt>
                <c:pt idx="41">
                  <c:v>1</c:v>
                </c:pt>
                <c:pt idx="42">
                  <c:v>8</c:v>
                </c:pt>
                <c:pt idx="43">
                  <c:v>4</c:v>
                </c:pt>
                <c:pt idx="44">
                  <c:v>9</c:v>
                </c:pt>
                <c:pt idx="45">
                  <c:v>8</c:v>
                </c:pt>
                <c:pt idx="46">
                  <c:v>8</c:v>
                </c:pt>
                <c:pt idx="47">
                  <c:v>7</c:v>
                </c:pt>
                <c:pt idx="48">
                  <c:v>21</c:v>
                </c:pt>
                <c:pt idx="49">
                  <c:v>12</c:v>
                </c:pt>
                <c:pt idx="50">
                  <c:v>25</c:v>
                </c:pt>
                <c:pt idx="51">
                  <c:v>19</c:v>
                </c:pt>
                <c:pt idx="52">
                  <c:v>47</c:v>
                </c:pt>
                <c:pt idx="53">
                  <c:v>12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თბილისი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bg1">
                    <a:lumMod val="50000"/>
                  </a:schemeClr>
                </a:solidFill>
              </a:ln>
              <a:effectLst/>
            </c:spPr>
          </c:marker>
          <c:cat>
            <c:strRef>
              <c:f>Sheet1!$A$2:$A$55</c:f>
              <c:strCache>
                <c:ptCount val="5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1 2019</c:v>
                </c:pt>
                <c:pt idx="53">
                  <c:v>2</c:v>
                </c:pt>
              </c:strCache>
            </c:strRef>
          </c:cat>
          <c:val>
            <c:numRef>
              <c:f>Sheet1!$C$2:$C$55</c:f>
              <c:numCache>
                <c:formatCode>General</c:formatCode>
                <c:ptCount val="54"/>
                <c:pt idx="0">
                  <c:v>2</c:v>
                </c:pt>
                <c:pt idx="1">
                  <c:v>1</c:v>
                </c:pt>
                <c:pt idx="2">
                  <c:v>0</c:v>
                </c:pt>
                <c:pt idx="3">
                  <c:v>5</c:v>
                </c:pt>
                <c:pt idx="4">
                  <c:v>6</c:v>
                </c:pt>
                <c:pt idx="5">
                  <c:v>5</c:v>
                </c:pt>
                <c:pt idx="6">
                  <c:v>7</c:v>
                </c:pt>
                <c:pt idx="7">
                  <c:v>7</c:v>
                </c:pt>
                <c:pt idx="8">
                  <c:v>4</c:v>
                </c:pt>
                <c:pt idx="9">
                  <c:v>12</c:v>
                </c:pt>
                <c:pt idx="10">
                  <c:v>12</c:v>
                </c:pt>
                <c:pt idx="11">
                  <c:v>28</c:v>
                </c:pt>
                <c:pt idx="12">
                  <c:v>9</c:v>
                </c:pt>
                <c:pt idx="13">
                  <c:v>20</c:v>
                </c:pt>
                <c:pt idx="14">
                  <c:v>17</c:v>
                </c:pt>
                <c:pt idx="15">
                  <c:v>26</c:v>
                </c:pt>
                <c:pt idx="16">
                  <c:v>12</c:v>
                </c:pt>
                <c:pt idx="17">
                  <c:v>35</c:v>
                </c:pt>
                <c:pt idx="18">
                  <c:v>24</c:v>
                </c:pt>
                <c:pt idx="19">
                  <c:v>29</c:v>
                </c:pt>
                <c:pt idx="20">
                  <c:v>20</c:v>
                </c:pt>
                <c:pt idx="21">
                  <c:v>26</c:v>
                </c:pt>
                <c:pt idx="22">
                  <c:v>20</c:v>
                </c:pt>
                <c:pt idx="23">
                  <c:v>19</c:v>
                </c:pt>
                <c:pt idx="24">
                  <c:v>9</c:v>
                </c:pt>
                <c:pt idx="25">
                  <c:v>16</c:v>
                </c:pt>
                <c:pt idx="26">
                  <c:v>5</c:v>
                </c:pt>
                <c:pt idx="27">
                  <c:v>11</c:v>
                </c:pt>
                <c:pt idx="28">
                  <c:v>11</c:v>
                </c:pt>
                <c:pt idx="29">
                  <c:v>4</c:v>
                </c:pt>
                <c:pt idx="30">
                  <c:v>4</c:v>
                </c:pt>
                <c:pt idx="31">
                  <c:v>4</c:v>
                </c:pt>
                <c:pt idx="32">
                  <c:v>0</c:v>
                </c:pt>
                <c:pt idx="33">
                  <c:v>7</c:v>
                </c:pt>
                <c:pt idx="34">
                  <c:v>3</c:v>
                </c:pt>
                <c:pt idx="35">
                  <c:v>3</c:v>
                </c:pt>
                <c:pt idx="36">
                  <c:v>4</c:v>
                </c:pt>
                <c:pt idx="37">
                  <c:v>2</c:v>
                </c:pt>
                <c:pt idx="38">
                  <c:v>1</c:v>
                </c:pt>
                <c:pt idx="39">
                  <c:v>4</c:v>
                </c:pt>
                <c:pt idx="40">
                  <c:v>22</c:v>
                </c:pt>
                <c:pt idx="41">
                  <c:v>11</c:v>
                </c:pt>
                <c:pt idx="42">
                  <c:v>24</c:v>
                </c:pt>
                <c:pt idx="43">
                  <c:v>14</c:v>
                </c:pt>
                <c:pt idx="44">
                  <c:v>16</c:v>
                </c:pt>
                <c:pt idx="45">
                  <c:v>44</c:v>
                </c:pt>
                <c:pt idx="46">
                  <c:v>36</c:v>
                </c:pt>
                <c:pt idx="47">
                  <c:v>73</c:v>
                </c:pt>
                <c:pt idx="48">
                  <c:v>39</c:v>
                </c:pt>
                <c:pt idx="49">
                  <c:v>44</c:v>
                </c:pt>
                <c:pt idx="50">
                  <c:v>66</c:v>
                </c:pt>
                <c:pt idx="51">
                  <c:v>35</c:v>
                </c:pt>
                <c:pt idx="52">
                  <c:v>45</c:v>
                </c:pt>
                <c:pt idx="53">
                  <c:v>13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სხვა რეგიონი</c:v>
                </c:pt>
              </c:strCache>
            </c:strRef>
          </c:tx>
          <c:spPr>
            <a:ln w="28575" cap="rnd">
              <a:solidFill>
                <a:schemeClr val="bg1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bg1">
                    <a:lumMod val="50000"/>
                  </a:schemeClr>
                </a:solidFill>
              </a:ln>
              <a:effectLst/>
            </c:spPr>
          </c:marker>
          <c:cat>
            <c:strRef>
              <c:f>Sheet1!$A$2:$A$55</c:f>
              <c:strCache>
                <c:ptCount val="5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1 2019</c:v>
                </c:pt>
                <c:pt idx="53">
                  <c:v>2</c:v>
                </c:pt>
              </c:strCache>
            </c:strRef>
          </c:cat>
          <c:val>
            <c:numRef>
              <c:f>Sheet1!$D$2:$D$55</c:f>
              <c:numCache>
                <c:formatCode>General</c:formatCode>
                <c:ptCount val="54"/>
                <c:pt idx="0">
                  <c:v>19</c:v>
                </c:pt>
                <c:pt idx="1">
                  <c:v>28</c:v>
                </c:pt>
                <c:pt idx="2">
                  <c:v>28</c:v>
                </c:pt>
                <c:pt idx="3">
                  <c:v>37</c:v>
                </c:pt>
                <c:pt idx="4">
                  <c:v>37</c:v>
                </c:pt>
                <c:pt idx="5">
                  <c:v>37</c:v>
                </c:pt>
                <c:pt idx="6">
                  <c:v>31</c:v>
                </c:pt>
                <c:pt idx="7">
                  <c:v>19</c:v>
                </c:pt>
                <c:pt idx="8">
                  <c:v>16</c:v>
                </c:pt>
                <c:pt idx="9">
                  <c:v>20</c:v>
                </c:pt>
                <c:pt idx="10">
                  <c:v>17</c:v>
                </c:pt>
                <c:pt idx="11">
                  <c:v>19</c:v>
                </c:pt>
                <c:pt idx="12">
                  <c:v>10</c:v>
                </c:pt>
                <c:pt idx="13">
                  <c:v>20</c:v>
                </c:pt>
                <c:pt idx="14">
                  <c:v>15</c:v>
                </c:pt>
                <c:pt idx="15">
                  <c:v>47</c:v>
                </c:pt>
                <c:pt idx="16">
                  <c:v>23</c:v>
                </c:pt>
                <c:pt idx="17">
                  <c:v>43</c:v>
                </c:pt>
                <c:pt idx="18">
                  <c:v>10</c:v>
                </c:pt>
                <c:pt idx="19">
                  <c:v>12</c:v>
                </c:pt>
                <c:pt idx="20">
                  <c:v>14</c:v>
                </c:pt>
                <c:pt idx="21">
                  <c:v>8</c:v>
                </c:pt>
                <c:pt idx="22">
                  <c:v>15</c:v>
                </c:pt>
                <c:pt idx="23">
                  <c:v>22</c:v>
                </c:pt>
                <c:pt idx="24">
                  <c:v>21</c:v>
                </c:pt>
                <c:pt idx="25">
                  <c:v>19</c:v>
                </c:pt>
                <c:pt idx="26">
                  <c:v>16</c:v>
                </c:pt>
                <c:pt idx="27">
                  <c:v>14</c:v>
                </c:pt>
                <c:pt idx="28">
                  <c:v>5</c:v>
                </c:pt>
                <c:pt idx="29">
                  <c:v>7</c:v>
                </c:pt>
                <c:pt idx="30">
                  <c:v>2</c:v>
                </c:pt>
                <c:pt idx="31">
                  <c:v>2</c:v>
                </c:pt>
                <c:pt idx="32">
                  <c:v>3</c:v>
                </c:pt>
                <c:pt idx="33">
                  <c:v>1</c:v>
                </c:pt>
                <c:pt idx="34">
                  <c:v>2</c:v>
                </c:pt>
                <c:pt idx="35">
                  <c:v>2</c:v>
                </c:pt>
                <c:pt idx="36">
                  <c:v>0</c:v>
                </c:pt>
                <c:pt idx="37">
                  <c:v>2</c:v>
                </c:pt>
                <c:pt idx="38">
                  <c:v>0</c:v>
                </c:pt>
                <c:pt idx="39">
                  <c:v>2</c:v>
                </c:pt>
                <c:pt idx="40">
                  <c:v>4</c:v>
                </c:pt>
                <c:pt idx="41">
                  <c:v>4</c:v>
                </c:pt>
                <c:pt idx="42">
                  <c:v>5</c:v>
                </c:pt>
                <c:pt idx="43">
                  <c:v>6</c:v>
                </c:pt>
                <c:pt idx="44">
                  <c:v>11</c:v>
                </c:pt>
                <c:pt idx="45">
                  <c:v>12</c:v>
                </c:pt>
                <c:pt idx="46">
                  <c:v>19</c:v>
                </c:pt>
                <c:pt idx="47">
                  <c:v>22</c:v>
                </c:pt>
                <c:pt idx="48">
                  <c:v>24</c:v>
                </c:pt>
                <c:pt idx="49">
                  <c:v>30</c:v>
                </c:pt>
                <c:pt idx="50">
                  <c:v>48</c:v>
                </c:pt>
                <c:pt idx="51">
                  <c:v>45</c:v>
                </c:pt>
                <c:pt idx="52">
                  <c:v>60</c:v>
                </c:pt>
                <c:pt idx="53">
                  <c:v>32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89384032"/>
        <c:axId val="1389373152"/>
      </c:lineChart>
      <c:catAx>
        <c:axId val="138938403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ka-GE"/>
                  <a:t>კვირები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  <a:alpha val="91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89373152"/>
        <c:crosses val="autoZero"/>
        <c:auto val="1"/>
        <c:lblAlgn val="ctr"/>
        <c:lblOffset val="100"/>
        <c:noMultiLvlLbl val="0"/>
      </c:catAx>
      <c:valAx>
        <c:axId val="1389373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ka-GE"/>
                  <a:t>შემთხვევათა რაოდენობა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89384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 baseline="0"/>
              <a:t>წითელას შემთხვევები, საქართველო, </a:t>
            </a:r>
          </a:p>
          <a:p>
            <a:pPr>
              <a:defRPr/>
            </a:pPr>
            <a:r>
              <a:rPr lang="en-US" sz="1200" baseline="0"/>
              <a:t>01.</a:t>
            </a:r>
            <a:r>
              <a:rPr lang="ka-GE" sz="1200" baseline="0"/>
              <a:t>07.2017-</a:t>
            </a:r>
            <a:r>
              <a:rPr lang="en-US" sz="1200" baseline="0"/>
              <a:t>14</a:t>
            </a:r>
            <a:r>
              <a:rPr lang="ka-GE" sz="1200" baseline="0"/>
              <a:t>.</a:t>
            </a:r>
            <a:r>
              <a:rPr lang="en-US" sz="1200" baseline="0"/>
              <a:t>0</a:t>
            </a:r>
            <a:r>
              <a:rPr lang="ka-GE" sz="1200" baseline="0"/>
              <a:t>1.201</a:t>
            </a:r>
            <a:r>
              <a:rPr lang="en-US" sz="1200" baseline="0"/>
              <a:t>9</a:t>
            </a:r>
            <a:endParaRPr lang="en-GB" sz="1200" baseline="0"/>
          </a:p>
        </c:rich>
      </c:tx>
      <c:layout>
        <c:manualLayout>
          <c:xMode val="edge"/>
          <c:yMode val="edge"/>
          <c:x val="0.34465277777777775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4.8790324226578988E-2"/>
          <c:y val="0.17535486094541214"/>
          <c:w val="0.94501593988154275"/>
          <c:h val="0.7325886158169622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 საქართველო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solidFill>
                  <a:srgbClr val="FF0000"/>
                </a:solidFill>
              </a:ln>
              <a:effectLst/>
            </c:spPr>
          </c:marker>
          <c:cat>
            <c:strRef>
              <c:f>Sheet1!$A$2:$A$80</c:f>
              <c:strCache>
                <c:ptCount val="79"/>
                <c:pt idx="0">
                  <c:v>28</c:v>
                </c:pt>
                <c:pt idx="1">
                  <c:v>29</c:v>
                </c:pt>
                <c:pt idx="2">
                  <c:v>30</c:v>
                </c:pt>
                <c:pt idx="3">
                  <c:v>31</c:v>
                </c:pt>
                <c:pt idx="4">
                  <c:v>32</c:v>
                </c:pt>
                <c:pt idx="5">
                  <c:v>33</c:v>
                </c:pt>
                <c:pt idx="6">
                  <c:v>34</c:v>
                </c:pt>
                <c:pt idx="7">
                  <c:v>35</c:v>
                </c:pt>
                <c:pt idx="8">
                  <c:v>36</c:v>
                </c:pt>
                <c:pt idx="9">
                  <c:v>37</c:v>
                </c:pt>
                <c:pt idx="10">
                  <c:v>38</c:v>
                </c:pt>
                <c:pt idx="11">
                  <c:v>39</c:v>
                </c:pt>
                <c:pt idx="12">
                  <c:v>40</c:v>
                </c:pt>
                <c:pt idx="13">
                  <c:v>41</c:v>
                </c:pt>
                <c:pt idx="14">
                  <c:v>42</c:v>
                </c:pt>
                <c:pt idx="15">
                  <c:v>43</c:v>
                </c:pt>
                <c:pt idx="16">
                  <c:v>44</c:v>
                </c:pt>
                <c:pt idx="17">
                  <c:v>45</c:v>
                </c:pt>
                <c:pt idx="18">
                  <c:v>46</c:v>
                </c:pt>
                <c:pt idx="19">
                  <c:v>47</c:v>
                </c:pt>
                <c:pt idx="20">
                  <c:v>48</c:v>
                </c:pt>
                <c:pt idx="21">
                  <c:v>49</c:v>
                </c:pt>
                <c:pt idx="22">
                  <c:v>50</c:v>
                </c:pt>
                <c:pt idx="23">
                  <c:v>51</c:v>
                </c:pt>
                <c:pt idx="24">
                  <c:v>52</c:v>
                </c:pt>
                <c:pt idx="25">
                  <c:v>1. 2018</c:v>
                </c:pt>
                <c:pt idx="26">
                  <c:v>2</c:v>
                </c:pt>
                <c:pt idx="27">
                  <c:v>3</c:v>
                </c:pt>
                <c:pt idx="28">
                  <c:v>4</c:v>
                </c:pt>
                <c:pt idx="29">
                  <c:v>5</c:v>
                </c:pt>
                <c:pt idx="30">
                  <c:v>6</c:v>
                </c:pt>
                <c:pt idx="31">
                  <c:v>7</c:v>
                </c:pt>
                <c:pt idx="32">
                  <c:v>8</c:v>
                </c:pt>
                <c:pt idx="33">
                  <c:v>9</c:v>
                </c:pt>
                <c:pt idx="34">
                  <c:v>10</c:v>
                </c:pt>
                <c:pt idx="35">
                  <c:v>11</c:v>
                </c:pt>
                <c:pt idx="36">
                  <c:v>12</c:v>
                </c:pt>
                <c:pt idx="37">
                  <c:v>13</c:v>
                </c:pt>
                <c:pt idx="38">
                  <c:v>14</c:v>
                </c:pt>
                <c:pt idx="39">
                  <c:v>15</c:v>
                </c:pt>
                <c:pt idx="40">
                  <c:v>16</c:v>
                </c:pt>
                <c:pt idx="41">
                  <c:v>17</c:v>
                </c:pt>
                <c:pt idx="42">
                  <c:v>18</c:v>
                </c:pt>
                <c:pt idx="43">
                  <c:v>19</c:v>
                </c:pt>
                <c:pt idx="44">
                  <c:v>20</c:v>
                </c:pt>
                <c:pt idx="45">
                  <c:v>21</c:v>
                </c:pt>
                <c:pt idx="46">
                  <c:v>22</c:v>
                </c:pt>
                <c:pt idx="47">
                  <c:v>23</c:v>
                </c:pt>
                <c:pt idx="48">
                  <c:v>24</c:v>
                </c:pt>
                <c:pt idx="49">
                  <c:v>25</c:v>
                </c:pt>
                <c:pt idx="50">
                  <c:v>26</c:v>
                </c:pt>
                <c:pt idx="51">
                  <c:v>27</c:v>
                </c:pt>
                <c:pt idx="52">
                  <c:v>28</c:v>
                </c:pt>
                <c:pt idx="53">
                  <c:v>29</c:v>
                </c:pt>
                <c:pt idx="54">
                  <c:v>30</c:v>
                </c:pt>
                <c:pt idx="55">
                  <c:v>31</c:v>
                </c:pt>
                <c:pt idx="56">
                  <c:v>32</c:v>
                </c:pt>
                <c:pt idx="57">
                  <c:v>33</c:v>
                </c:pt>
                <c:pt idx="58">
                  <c:v>34</c:v>
                </c:pt>
                <c:pt idx="59">
                  <c:v>35</c:v>
                </c:pt>
                <c:pt idx="60">
                  <c:v>36</c:v>
                </c:pt>
                <c:pt idx="61">
                  <c:v>37</c:v>
                </c:pt>
                <c:pt idx="62">
                  <c:v>38</c:v>
                </c:pt>
                <c:pt idx="63">
                  <c:v>39</c:v>
                </c:pt>
                <c:pt idx="64">
                  <c:v>40</c:v>
                </c:pt>
                <c:pt idx="65">
                  <c:v>41</c:v>
                </c:pt>
                <c:pt idx="66">
                  <c:v>42</c:v>
                </c:pt>
                <c:pt idx="67">
                  <c:v>43</c:v>
                </c:pt>
                <c:pt idx="68">
                  <c:v>44</c:v>
                </c:pt>
                <c:pt idx="69">
                  <c:v>45</c:v>
                </c:pt>
                <c:pt idx="70">
                  <c:v>46</c:v>
                </c:pt>
                <c:pt idx="71">
                  <c:v>47</c:v>
                </c:pt>
                <c:pt idx="72">
                  <c:v>48</c:v>
                </c:pt>
                <c:pt idx="73">
                  <c:v>49</c:v>
                </c:pt>
                <c:pt idx="74">
                  <c:v>50</c:v>
                </c:pt>
                <c:pt idx="75">
                  <c:v>51</c:v>
                </c:pt>
                <c:pt idx="76">
                  <c:v>52</c:v>
                </c:pt>
                <c:pt idx="77">
                  <c:v>1. 2019</c:v>
                </c:pt>
                <c:pt idx="78">
                  <c:v>2</c:v>
                </c:pt>
              </c:strCache>
            </c:strRef>
          </c:cat>
          <c:val>
            <c:numRef>
              <c:f>Sheet1!$B$2:$B$80</c:f>
              <c:numCache>
                <c:formatCode>General</c:formatCode>
                <c:ptCount val="79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  <c:pt idx="5">
                  <c:v>3</c:v>
                </c:pt>
                <c:pt idx="6">
                  <c:v>5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5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5</c:v>
                </c:pt>
                <c:pt idx="17">
                  <c:v>1</c:v>
                </c:pt>
                <c:pt idx="18">
                  <c:v>3</c:v>
                </c:pt>
                <c:pt idx="19">
                  <c:v>4</c:v>
                </c:pt>
                <c:pt idx="20">
                  <c:v>3</c:v>
                </c:pt>
                <c:pt idx="21">
                  <c:v>13</c:v>
                </c:pt>
                <c:pt idx="22">
                  <c:v>10</c:v>
                </c:pt>
                <c:pt idx="23">
                  <c:v>16</c:v>
                </c:pt>
                <c:pt idx="24">
                  <c:v>18</c:v>
                </c:pt>
                <c:pt idx="25">
                  <c:v>21</c:v>
                </c:pt>
                <c:pt idx="26">
                  <c:v>29</c:v>
                </c:pt>
                <c:pt idx="27">
                  <c:v>28</c:v>
                </c:pt>
                <c:pt idx="28">
                  <c:v>43</c:v>
                </c:pt>
                <c:pt idx="29">
                  <c:v>45</c:v>
                </c:pt>
                <c:pt idx="30">
                  <c:v>42</c:v>
                </c:pt>
                <c:pt idx="31">
                  <c:v>42</c:v>
                </c:pt>
                <c:pt idx="32">
                  <c:v>30</c:v>
                </c:pt>
                <c:pt idx="33">
                  <c:v>23</c:v>
                </c:pt>
                <c:pt idx="34">
                  <c:v>40</c:v>
                </c:pt>
                <c:pt idx="35">
                  <c:v>34</c:v>
                </c:pt>
                <c:pt idx="36">
                  <c:v>53</c:v>
                </c:pt>
                <c:pt idx="37">
                  <c:v>20</c:v>
                </c:pt>
                <c:pt idx="38">
                  <c:v>45</c:v>
                </c:pt>
                <c:pt idx="39">
                  <c:v>37</c:v>
                </c:pt>
                <c:pt idx="40">
                  <c:v>87</c:v>
                </c:pt>
                <c:pt idx="41">
                  <c:v>39</c:v>
                </c:pt>
                <c:pt idx="42">
                  <c:v>89</c:v>
                </c:pt>
                <c:pt idx="43">
                  <c:v>41</c:v>
                </c:pt>
                <c:pt idx="44">
                  <c:v>66</c:v>
                </c:pt>
                <c:pt idx="45">
                  <c:v>44</c:v>
                </c:pt>
                <c:pt idx="46">
                  <c:v>59</c:v>
                </c:pt>
                <c:pt idx="47">
                  <c:v>47</c:v>
                </c:pt>
                <c:pt idx="48">
                  <c:v>60</c:v>
                </c:pt>
                <c:pt idx="49">
                  <c:v>40</c:v>
                </c:pt>
                <c:pt idx="50">
                  <c:v>47</c:v>
                </c:pt>
                <c:pt idx="51">
                  <c:v>43</c:v>
                </c:pt>
                <c:pt idx="52">
                  <c:v>52</c:v>
                </c:pt>
                <c:pt idx="53">
                  <c:v>29</c:v>
                </c:pt>
                <c:pt idx="54">
                  <c:v>18</c:v>
                </c:pt>
                <c:pt idx="55">
                  <c:v>15</c:v>
                </c:pt>
                <c:pt idx="56">
                  <c:v>15</c:v>
                </c:pt>
                <c:pt idx="57">
                  <c:v>9</c:v>
                </c:pt>
                <c:pt idx="58">
                  <c:v>17</c:v>
                </c:pt>
                <c:pt idx="59">
                  <c:v>16</c:v>
                </c:pt>
                <c:pt idx="60">
                  <c:v>13</c:v>
                </c:pt>
                <c:pt idx="61">
                  <c:v>11</c:v>
                </c:pt>
                <c:pt idx="62">
                  <c:v>9</c:v>
                </c:pt>
                <c:pt idx="63">
                  <c:v>4</c:v>
                </c:pt>
                <c:pt idx="64">
                  <c:v>10</c:v>
                </c:pt>
                <c:pt idx="65">
                  <c:v>39</c:v>
                </c:pt>
                <c:pt idx="66">
                  <c:v>16</c:v>
                </c:pt>
                <c:pt idx="67">
                  <c:v>37</c:v>
                </c:pt>
                <c:pt idx="68">
                  <c:v>24</c:v>
                </c:pt>
                <c:pt idx="69">
                  <c:v>36</c:v>
                </c:pt>
                <c:pt idx="70">
                  <c:v>64</c:v>
                </c:pt>
                <c:pt idx="71">
                  <c:v>63</c:v>
                </c:pt>
                <c:pt idx="72">
                  <c:v>106</c:v>
                </c:pt>
                <c:pt idx="73">
                  <c:v>84</c:v>
                </c:pt>
                <c:pt idx="74">
                  <c:v>86</c:v>
                </c:pt>
                <c:pt idx="75">
                  <c:v>139</c:v>
                </c:pt>
                <c:pt idx="76">
                  <c:v>99</c:v>
                </c:pt>
                <c:pt idx="77">
                  <c:v>151</c:v>
                </c:pt>
                <c:pt idx="78">
                  <c:v>57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89373696"/>
        <c:axId val="1389374784"/>
      </c:lineChart>
      <c:catAx>
        <c:axId val="138937369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ka-GE"/>
                  <a:t>კვირეები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89374784"/>
        <c:crosses val="autoZero"/>
        <c:auto val="1"/>
        <c:lblAlgn val="ctr"/>
        <c:lblOffset val="100"/>
        <c:noMultiLvlLbl val="0"/>
      </c:catAx>
      <c:valAx>
        <c:axId val="1389374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ka-GE"/>
                  <a:t>შემთხვევათა რაოდენობა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89373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BD7D3-0BCD-4478-92B7-B0942482E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Rusudan Chlikadze</dc:creator>
  <cp:keywords/>
  <dc:description/>
  <cp:lastModifiedBy>Khatuna Zakhashvili</cp:lastModifiedBy>
  <cp:revision>8</cp:revision>
  <dcterms:created xsi:type="dcterms:W3CDTF">2019-01-14T13:20:00Z</dcterms:created>
  <dcterms:modified xsi:type="dcterms:W3CDTF">2019-01-14T14:17:00Z</dcterms:modified>
</cp:coreProperties>
</file>